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BD5" w:rsidRDefault="00D533D8">
      <w:pPr>
        <w:spacing w:after="200" w:line="276"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January 4, 2023</w:t>
      </w:r>
    </w:p>
    <w:p w:rsidR="00C16BD5" w:rsidRDefault="00D533D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 and Community Members:</w:t>
      </w:r>
    </w:p>
    <w:p w:rsidR="00C16BD5" w:rsidRDefault="00D533D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pleased to present you with the Annual Education Report (AER) which provides key information on the 2021-2022 educational progress for Atherton Virtual Academy (AVA), a non-traditional high school allowing students to earn a high school diploma thro</w:t>
      </w:r>
      <w:r>
        <w:rPr>
          <w:rFonts w:ascii="Times New Roman" w:eastAsia="Times New Roman" w:hAnsi="Times New Roman" w:cs="Times New Roman"/>
          <w:sz w:val="24"/>
          <w:szCs w:val="24"/>
        </w:rPr>
        <w:t>ugh Atherton Community Schools.  This AER addresses the complex reporting information required by federal and state laws.  The school’s report contains information about student assessment, accountability and teacher quality.  If you have any questions abo</w:t>
      </w:r>
      <w:r>
        <w:rPr>
          <w:rFonts w:ascii="Times New Roman" w:eastAsia="Times New Roman" w:hAnsi="Times New Roman" w:cs="Times New Roman"/>
          <w:sz w:val="24"/>
          <w:szCs w:val="24"/>
        </w:rPr>
        <w:t xml:space="preserve">ut this AER, please contact Tina Davis,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AVA administrator, for assistance</w:t>
      </w:r>
      <w:r>
        <w:rPr>
          <w:rFonts w:ascii="Times New Roman" w:eastAsia="Times New Roman" w:hAnsi="Times New Roman" w:cs="Times New Roman"/>
          <w:sz w:val="24"/>
          <w:szCs w:val="24"/>
        </w:rPr>
        <w:t>.</w:t>
      </w:r>
    </w:p>
    <w:p w:rsidR="00C16BD5" w:rsidRDefault="00D533D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AER is available for you to review electronically by visiting the following web site </w:t>
      </w:r>
      <w:hyperlink r:id="rId7">
        <w:r>
          <w:rPr>
            <w:rFonts w:ascii="Times New Roman" w:eastAsia="Times New Roman" w:hAnsi="Times New Roman" w:cs="Times New Roman"/>
            <w:color w:val="1155CC"/>
            <w:sz w:val="24"/>
            <w:szCs w:val="24"/>
            <w:highlight w:val="white"/>
            <w:u w:val="single"/>
          </w:rPr>
          <w:t>https://bit.ly/3QhQiI4</w:t>
        </w:r>
      </w:hyperlink>
      <w:r>
        <w:rPr>
          <w:rFonts w:ascii="Times New Roman" w:eastAsia="Times New Roman" w:hAnsi="Times New Roman" w:cs="Times New Roman"/>
          <w:sz w:val="24"/>
          <w:szCs w:val="24"/>
        </w:rPr>
        <w:t xml:space="preserve"> or you may review a</w:t>
      </w:r>
      <w:r>
        <w:rPr>
          <w:rFonts w:ascii="Times New Roman" w:eastAsia="Times New Roman" w:hAnsi="Times New Roman" w:cs="Times New Roman"/>
          <w:sz w:val="24"/>
          <w:szCs w:val="24"/>
        </w:rPr>
        <w:t xml:space="preserve"> copy in our office.                          </w:t>
      </w:r>
    </w:p>
    <w:p w:rsidR="00C16BD5" w:rsidRDefault="00D533D8">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2021-2022 school year, schools were identified based on previous years’ performance using definitions and labels as required in </w:t>
      </w:r>
      <w:proofErr w:type="gramStart"/>
      <w:r>
        <w:rPr>
          <w:rFonts w:ascii="Times New Roman" w:eastAsia="Times New Roman" w:hAnsi="Times New Roman" w:cs="Times New Roman"/>
          <w:sz w:val="24"/>
          <w:szCs w:val="24"/>
        </w:rPr>
        <w:t>the Every</w:t>
      </w:r>
      <w:proofErr w:type="gramEnd"/>
      <w:r>
        <w:rPr>
          <w:rFonts w:ascii="Times New Roman" w:eastAsia="Times New Roman" w:hAnsi="Times New Roman" w:cs="Times New Roman"/>
          <w:sz w:val="24"/>
          <w:szCs w:val="24"/>
        </w:rPr>
        <w:t xml:space="preserve"> Student Succeeds Act (ESSA).  A Targeted Support and Improvemen</w:t>
      </w:r>
      <w:r>
        <w:rPr>
          <w:rFonts w:ascii="Times New Roman" w:eastAsia="Times New Roman" w:hAnsi="Times New Roman" w:cs="Times New Roman"/>
          <w:sz w:val="24"/>
          <w:szCs w:val="24"/>
        </w:rPr>
        <w:t>t (TSI) school is one that had at least one underperforming student subgroup in 2021-2022.  An Additional Targeted Support (ATS) school is one that had a subgroup performing at the same level as the lowest 5% of all schools in the state in 2021-2022.  A Co</w:t>
      </w:r>
      <w:r>
        <w:rPr>
          <w:rFonts w:ascii="Times New Roman" w:eastAsia="Times New Roman" w:hAnsi="Times New Roman" w:cs="Times New Roman"/>
          <w:sz w:val="24"/>
          <w:szCs w:val="24"/>
        </w:rPr>
        <w:t xml:space="preserve">mprehensive Support and Improvement (CSI) school is one whose performance was in the lowest 5% of all schools in the state or had a graduation rate at or below 67% in 2021-2022.  Some schools are not identified with any of these labels. In these cases, no </w:t>
      </w:r>
      <w:r>
        <w:rPr>
          <w:rFonts w:ascii="Times New Roman" w:eastAsia="Times New Roman" w:hAnsi="Times New Roman" w:cs="Times New Roman"/>
          <w:sz w:val="24"/>
          <w:szCs w:val="24"/>
        </w:rPr>
        <w:t xml:space="preserve">label is given. </w:t>
      </w:r>
    </w:p>
    <w:p w:rsidR="00C16BD5" w:rsidRDefault="00C16BD5">
      <w:pPr>
        <w:shd w:val="clear" w:color="auto" w:fill="FFFFFF"/>
        <w:spacing w:after="0" w:line="276" w:lineRule="auto"/>
        <w:rPr>
          <w:rFonts w:ascii="Times New Roman" w:eastAsia="Times New Roman" w:hAnsi="Times New Roman" w:cs="Times New Roman"/>
          <w:sz w:val="24"/>
          <w:szCs w:val="24"/>
        </w:rPr>
      </w:pPr>
    </w:p>
    <w:p w:rsidR="00C16BD5" w:rsidRDefault="00D533D8">
      <w:pPr>
        <w:spacing w:after="20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Our school has not been given one of these labels.  </w:t>
      </w:r>
    </w:p>
    <w:p w:rsidR="00C16BD5" w:rsidRDefault="00D533D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school’s challenges include increasing the percentage of students scoring proficient on district and state testing and ensuring students who enroll at AVA with credit deficits compl</w:t>
      </w:r>
      <w:r>
        <w:rPr>
          <w:rFonts w:ascii="Times New Roman" w:eastAsia="Times New Roman" w:hAnsi="Times New Roman" w:cs="Times New Roman"/>
          <w:sz w:val="24"/>
          <w:szCs w:val="24"/>
        </w:rPr>
        <w:t>ete their individual learning plan in order to meet graduation requirements.</w:t>
      </w:r>
    </w:p>
    <w:p w:rsidR="00C16BD5" w:rsidRDefault="00D533D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due to challenges faced through the worldwide pandemic, student attendance, engagement, and motivation has declined. We actively seek to identify and support students’ ac</w:t>
      </w:r>
      <w:r>
        <w:rPr>
          <w:rFonts w:ascii="Times New Roman" w:eastAsia="Times New Roman" w:hAnsi="Times New Roman" w:cs="Times New Roman"/>
          <w:sz w:val="24"/>
          <w:szCs w:val="24"/>
        </w:rPr>
        <w:t>ademic and social needs through our mentor program and a newly implemented Social Emotional Learning class. Our staff continues to work as a Professional Learning Community to align curriculum, assessments, and develop programming to meet students’ individ</w:t>
      </w:r>
      <w:r>
        <w:rPr>
          <w:rFonts w:ascii="Times New Roman" w:eastAsia="Times New Roman" w:hAnsi="Times New Roman" w:cs="Times New Roman"/>
          <w:sz w:val="24"/>
          <w:szCs w:val="24"/>
        </w:rPr>
        <w:t xml:space="preserve">ual learning needs.  Staff members at AVA strive to develop students who are academically successful, as well as, become positive members of the community.    </w:t>
      </w:r>
    </w:p>
    <w:p w:rsidR="00C16BD5" w:rsidRDefault="00C16BD5">
      <w:pPr>
        <w:spacing w:after="200" w:line="276" w:lineRule="auto"/>
        <w:rPr>
          <w:rFonts w:ascii="Times New Roman" w:eastAsia="Times New Roman" w:hAnsi="Times New Roman" w:cs="Times New Roman"/>
          <w:sz w:val="24"/>
          <w:szCs w:val="24"/>
        </w:rPr>
      </w:pPr>
    </w:p>
    <w:p w:rsidR="00C16BD5" w:rsidRDefault="00C16BD5">
      <w:pPr>
        <w:spacing w:after="200" w:line="276" w:lineRule="auto"/>
        <w:rPr>
          <w:rFonts w:ascii="Times New Roman" w:eastAsia="Times New Roman" w:hAnsi="Times New Roman" w:cs="Times New Roman"/>
          <w:sz w:val="24"/>
          <w:szCs w:val="24"/>
        </w:rPr>
      </w:pPr>
    </w:p>
    <w:p w:rsidR="00C16BD5" w:rsidRDefault="00C16BD5">
      <w:pPr>
        <w:spacing w:after="200" w:line="276" w:lineRule="auto"/>
        <w:rPr>
          <w:rFonts w:ascii="Times New Roman" w:eastAsia="Times New Roman" w:hAnsi="Times New Roman" w:cs="Times New Roman"/>
          <w:sz w:val="24"/>
          <w:szCs w:val="24"/>
        </w:rPr>
      </w:pPr>
    </w:p>
    <w:p w:rsidR="00C16BD5" w:rsidRDefault="00C16BD5">
      <w:pPr>
        <w:spacing w:after="200" w:line="276" w:lineRule="auto"/>
        <w:rPr>
          <w:rFonts w:ascii="Times New Roman" w:eastAsia="Times New Roman" w:hAnsi="Times New Roman" w:cs="Times New Roman"/>
          <w:sz w:val="24"/>
          <w:szCs w:val="24"/>
        </w:rPr>
      </w:pPr>
    </w:p>
    <w:p w:rsidR="00C16BD5" w:rsidRDefault="00D533D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State law requires that we also report the additional information that follows:</w:t>
      </w:r>
    </w:p>
    <w:p w:rsidR="00C16BD5" w:rsidRDefault="00D533D8">
      <w:pPr>
        <w:numPr>
          <w:ilvl w:val="0"/>
          <w:numId w:val="2"/>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PROCESS FOR </w:t>
      </w:r>
      <w:r>
        <w:rPr>
          <w:rFonts w:ascii="Times New Roman" w:eastAsia="Times New Roman" w:hAnsi="Times New Roman" w:cs="Times New Roman"/>
          <w:b/>
          <w:sz w:val="24"/>
          <w:szCs w:val="24"/>
        </w:rPr>
        <w:t>ASSIGNING PUPILS TO THE SCHOOL</w:t>
      </w:r>
    </w:p>
    <w:p w:rsidR="00C16BD5" w:rsidRDefault="00D533D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parents/guardians meet with the Atherton Virtual Academy administrator/lead teacher to begin the registration process.  First, an initial interview is conducted by the program administrator and/lead teacher.  Dur</w:t>
      </w:r>
      <w:r>
        <w:rPr>
          <w:rFonts w:ascii="Times New Roman" w:eastAsia="Times New Roman" w:hAnsi="Times New Roman" w:cs="Times New Roman"/>
          <w:sz w:val="24"/>
          <w:szCs w:val="24"/>
        </w:rPr>
        <w:t>ing the interview, the enrollment process is shared along with program expectations.  Transcripts are reviewed and a graduation plan is developed.  The registration process reveals characteristics that support a student’s possibility of a positive and succ</w:t>
      </w:r>
      <w:r>
        <w:rPr>
          <w:rFonts w:ascii="Times New Roman" w:eastAsia="Times New Roman" w:hAnsi="Times New Roman" w:cs="Times New Roman"/>
          <w:sz w:val="24"/>
          <w:szCs w:val="24"/>
        </w:rPr>
        <w:t>essful AVA experience or a situation that would lend the staff to counsel the student into another venue of graduation completion that may better meet their individual needs.</w:t>
      </w:r>
    </w:p>
    <w:p w:rsidR="00C16BD5" w:rsidRDefault="00D533D8">
      <w:pPr>
        <w:numPr>
          <w:ilvl w:val="0"/>
          <w:numId w:val="2"/>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STATUS OF THE 3-5 YEAR SCHOOL IMPROVEMENT PLAN</w:t>
      </w:r>
    </w:p>
    <w:p w:rsidR="00C16BD5" w:rsidRDefault="00D533D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Atherton Virtual Academy’s Sch</w:t>
      </w:r>
      <w:r>
        <w:rPr>
          <w:rFonts w:ascii="Times New Roman" w:eastAsia="Times New Roman" w:hAnsi="Times New Roman" w:cs="Times New Roman"/>
          <w:sz w:val="22"/>
          <w:szCs w:val="22"/>
        </w:rPr>
        <w:t xml:space="preserve">ool </w:t>
      </w:r>
      <w:r>
        <w:rPr>
          <w:rFonts w:ascii="Times New Roman" w:eastAsia="Times New Roman" w:hAnsi="Times New Roman" w:cs="Times New Roman"/>
          <w:sz w:val="24"/>
          <w:szCs w:val="24"/>
        </w:rPr>
        <w:t>Improvement Plan is aligned with the district’s Michigan Integrated Continuous Improvement Process (MICIP), which is a pathway to improve student outcomes by assessing whole child needs and our Board of Education goals.  Our current goals state:</w:t>
      </w:r>
    </w:p>
    <w:p w:rsidR="00C16BD5" w:rsidRDefault="00D533D8">
      <w:pPr>
        <w:numPr>
          <w:ilvl w:val="0"/>
          <w:numId w:val="1"/>
        </w:numPr>
        <w:spacing w:after="0" w:line="276" w:lineRule="auto"/>
      </w:pPr>
      <w:r>
        <w:rPr>
          <w:rFonts w:ascii="Times New Roman" w:eastAsia="Times New Roman" w:hAnsi="Times New Roman" w:cs="Times New Roman"/>
          <w:sz w:val="24"/>
          <w:szCs w:val="24"/>
        </w:rPr>
        <w:t>By Mar</w:t>
      </w:r>
      <w:r>
        <w:rPr>
          <w:rFonts w:ascii="Times New Roman" w:eastAsia="Times New Roman" w:hAnsi="Times New Roman" w:cs="Times New Roman"/>
          <w:sz w:val="24"/>
          <w:szCs w:val="24"/>
        </w:rPr>
        <w:t>ch 31, 2025, 63% of our students will be reading no more than two grade levels below expected benchmark, currently 55%, as measured by the NWEA MAP Reading assessment</w:t>
      </w:r>
    </w:p>
    <w:p w:rsidR="00C16BD5" w:rsidRDefault="00D533D8">
      <w:pPr>
        <w:numPr>
          <w:ilvl w:val="0"/>
          <w:numId w:val="1"/>
        </w:numPr>
        <w:spacing w:after="0" w:line="276" w:lineRule="auto"/>
        <w:rPr>
          <w:rFonts w:ascii="Times New Roman" w:eastAsia="Times New Roman" w:hAnsi="Times New Roman" w:cs="Times New Roman"/>
          <w:sz w:val="22"/>
          <w:szCs w:val="22"/>
        </w:rPr>
      </w:pPr>
      <w:r>
        <w:rPr>
          <w:rFonts w:ascii="Times New Roman" w:eastAsia="Times New Roman" w:hAnsi="Times New Roman" w:cs="Times New Roman"/>
          <w:sz w:val="24"/>
          <w:szCs w:val="24"/>
        </w:rPr>
        <w:t>According to the SRSS Screener survey, 47% of students are identified as at-risk or high-</w:t>
      </w:r>
      <w:r>
        <w:rPr>
          <w:rFonts w:ascii="Times New Roman" w:eastAsia="Times New Roman" w:hAnsi="Times New Roman" w:cs="Times New Roman"/>
          <w:sz w:val="24"/>
          <w:szCs w:val="24"/>
        </w:rPr>
        <w:t xml:space="preserve">risk, so our goal is to provide Tier I, Tier II, and </w:t>
      </w:r>
      <w:proofErr w:type="gramStart"/>
      <w:r>
        <w:rPr>
          <w:rFonts w:ascii="Times New Roman" w:eastAsia="Times New Roman" w:hAnsi="Times New Roman" w:cs="Times New Roman"/>
          <w:sz w:val="24"/>
          <w:szCs w:val="24"/>
        </w:rPr>
        <w:t>Tier  III</w:t>
      </w:r>
      <w:proofErr w:type="gramEnd"/>
      <w:r>
        <w:rPr>
          <w:rFonts w:ascii="Times New Roman" w:eastAsia="Times New Roman" w:hAnsi="Times New Roman" w:cs="Times New Roman"/>
          <w:sz w:val="24"/>
          <w:szCs w:val="24"/>
        </w:rPr>
        <w:t xml:space="preserve"> SEL and SEB resources to staff and students to reduce the number to 27% by June 30, 2026.</w:t>
      </w:r>
    </w:p>
    <w:p w:rsidR="00C16BD5" w:rsidRDefault="00C16BD5">
      <w:pPr>
        <w:spacing w:after="0" w:line="276" w:lineRule="auto"/>
        <w:rPr>
          <w:rFonts w:ascii="Times New Roman" w:eastAsia="Times New Roman" w:hAnsi="Times New Roman" w:cs="Times New Roman"/>
          <w:sz w:val="24"/>
          <w:szCs w:val="24"/>
        </w:rPr>
      </w:pPr>
    </w:p>
    <w:p w:rsidR="00C16BD5" w:rsidRDefault="00D533D8">
      <w:pPr>
        <w:numPr>
          <w:ilvl w:val="0"/>
          <w:numId w:val="2"/>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SPECIALIZED SCHOOLS</w:t>
      </w:r>
    </w:p>
    <w:p w:rsidR="00C16BD5" w:rsidRDefault="00D533D8">
      <w:pPr>
        <w:spacing w:after="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Genesee Career Institute</w:t>
      </w:r>
    </w:p>
    <w:p w:rsidR="00C16BD5" w:rsidRDefault="00D53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Atherton Virtual Academy students who qualify are provided the opportunity to attend Genesee Career Institute (GCI).  Genesee Career Institute provides career and technical educational programs in the following areas.  </w:t>
      </w:r>
    </w:p>
    <w:p w:rsidR="00C16BD5" w:rsidRDefault="00D533D8">
      <w:pPr>
        <w:numPr>
          <w:ilvl w:val="0"/>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Agriscience</w:t>
      </w:r>
      <w:proofErr w:type="spellEnd"/>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Agriculture. Food, and N</w:t>
      </w:r>
      <w:r>
        <w:rPr>
          <w:rFonts w:ascii="Times New Roman" w:eastAsia="Times New Roman" w:hAnsi="Times New Roman" w:cs="Times New Roman"/>
          <w:sz w:val="24"/>
          <w:szCs w:val="24"/>
        </w:rPr>
        <w:t>atural Resources</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Veterinary Medicine</w:t>
      </w:r>
    </w:p>
    <w:p w:rsidR="00C16BD5" w:rsidRDefault="00D533D8">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Architecture and Construction</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Trades</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 Wiring</w:t>
      </w:r>
    </w:p>
    <w:p w:rsidR="00C16BD5" w:rsidRDefault="00D533D8">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Arts, Audio/Video Technology, and Communications</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Digital Art, Design and Broadcasting</w:t>
      </w:r>
    </w:p>
    <w:p w:rsidR="00C16BD5" w:rsidRDefault="00D533D8">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and Training</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 Childhood Education</w:t>
      </w:r>
    </w:p>
    <w:p w:rsidR="00C16BD5" w:rsidRDefault="00D533D8">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Insuranc</w:t>
      </w:r>
      <w:r>
        <w:rPr>
          <w:rFonts w:ascii="Times New Roman" w:eastAsia="Times New Roman" w:hAnsi="Times New Roman" w:cs="Times New Roman"/>
          <w:sz w:val="24"/>
          <w:szCs w:val="24"/>
        </w:rPr>
        <w:t>e and Risk Management</w:t>
      </w:r>
    </w:p>
    <w:p w:rsidR="00C16BD5" w:rsidRDefault="00D533D8">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and Public Administration</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Army Junior Reserve Officer Training Corps (JROTC)</w:t>
      </w:r>
    </w:p>
    <w:p w:rsidR="00C16BD5" w:rsidRDefault="00D533D8">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 Science</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Medical Concepts (EMC)</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Forensic Science</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Assistant</w:t>
      </w:r>
      <w:r>
        <w:rPr>
          <w:rFonts w:ascii="Times New Roman" w:eastAsia="Times New Roman" w:hAnsi="Times New Roman" w:cs="Times New Roman"/>
          <w:sz w:val="24"/>
          <w:szCs w:val="24"/>
        </w:rPr>
        <w:tab/>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Career Foundations (MCF)</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Sports Medicine</w:t>
      </w:r>
    </w:p>
    <w:p w:rsidR="00C16BD5" w:rsidRDefault="00D533D8">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Hospitalit</w:t>
      </w:r>
      <w:r>
        <w:rPr>
          <w:rFonts w:ascii="Times New Roman" w:eastAsia="Times New Roman" w:hAnsi="Times New Roman" w:cs="Times New Roman"/>
          <w:sz w:val="24"/>
          <w:szCs w:val="24"/>
        </w:rPr>
        <w:t>y and Tourism</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Culinary</w:t>
      </w:r>
    </w:p>
    <w:p w:rsidR="00C16BD5" w:rsidRDefault="00D533D8">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Human Services</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Cosmetology</w:t>
      </w:r>
    </w:p>
    <w:p w:rsidR="00C16BD5" w:rsidRDefault="00D533D8">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Technology</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Hardware Technician</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Game Programming</w:t>
      </w:r>
    </w:p>
    <w:p w:rsidR="00C16BD5" w:rsidRDefault="00D533D8">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 Public Safety, Corrections, and Security</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Safety and Homeland Security</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 Academy</w:t>
      </w:r>
    </w:p>
    <w:p w:rsidR="00C16BD5" w:rsidRDefault="00D533D8">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Manufacturing</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Mechatronics and Robotics</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Welding</w:t>
      </w:r>
    </w:p>
    <w:p w:rsidR="00C16BD5" w:rsidRDefault="00D533D8">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and Entrepreneurship</w:t>
      </w:r>
    </w:p>
    <w:p w:rsidR="00C16BD5" w:rsidRDefault="00D533D8">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 and Logistics</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Automotive Technology</w:t>
      </w:r>
    </w:p>
    <w:p w:rsidR="00C16BD5" w:rsidRDefault="00D533D8">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Aviation Academy</w:t>
      </w:r>
    </w:p>
    <w:p w:rsidR="00C16BD5" w:rsidRDefault="00D533D8">
      <w:pPr>
        <w:numPr>
          <w:ilvl w:val="1"/>
          <w:numId w:val="3"/>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Medium/Heavy Duty Technician (Diesel Mechanics)</w:t>
      </w:r>
    </w:p>
    <w:p w:rsidR="00C16BD5" w:rsidRDefault="00D533D8">
      <w:pPr>
        <w:spacing w:after="20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For a complete list of available programs please visit the Genesee Career Institute website</w:t>
      </w:r>
      <w:r>
        <w:rPr>
          <w:rFonts w:ascii="Times New Roman" w:eastAsia="Times New Roman" w:hAnsi="Times New Roman" w:cs="Times New Roman"/>
          <w:sz w:val="24"/>
          <w:szCs w:val="24"/>
        </w:rPr>
        <w:t xml:space="preserve"> at </w:t>
      </w:r>
      <w:hyperlink r:id="rId8">
        <w:r>
          <w:rPr>
            <w:rFonts w:ascii="Times New Roman" w:eastAsia="Times New Roman" w:hAnsi="Times New Roman" w:cs="Times New Roman"/>
            <w:color w:val="1155CC"/>
            <w:sz w:val="24"/>
            <w:szCs w:val="24"/>
            <w:u w:val="single"/>
          </w:rPr>
          <w:t>https://bit.ly/3F3UC7a</w:t>
        </w:r>
      </w:hyperlink>
      <w:r>
        <w:rPr>
          <w:rFonts w:ascii="Times New Roman" w:eastAsia="Times New Roman" w:hAnsi="Times New Roman" w:cs="Times New Roman"/>
          <w:sz w:val="24"/>
          <w:szCs w:val="24"/>
        </w:rPr>
        <w:t>.</w:t>
      </w:r>
    </w:p>
    <w:p w:rsidR="00C16BD5" w:rsidRDefault="00D533D8">
      <w:pPr>
        <w:spacing w:after="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Alternative Education Program – AVA Academy</w:t>
      </w:r>
    </w:p>
    <w:p w:rsidR="00C16BD5" w:rsidRDefault="00D533D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Atherton Virtual Academy is a state-approved virtual learning program that offers a flexible learning schedule to students and is located at V</w:t>
      </w:r>
      <w:r>
        <w:rPr>
          <w:rFonts w:ascii="Times New Roman" w:eastAsia="Times New Roman" w:hAnsi="Times New Roman" w:cs="Times New Roman"/>
          <w:sz w:val="24"/>
          <w:szCs w:val="24"/>
        </w:rPr>
        <w:t xml:space="preserve">ern Van Y Educational Center, 2400 Clarice Ave, Burton, Michigan.  It provides 15 to </w:t>
      </w:r>
      <w:proofErr w:type="gramStart"/>
      <w:r>
        <w:rPr>
          <w:rFonts w:ascii="Times New Roman" w:eastAsia="Times New Roman" w:hAnsi="Times New Roman" w:cs="Times New Roman"/>
          <w:sz w:val="24"/>
          <w:szCs w:val="24"/>
        </w:rPr>
        <w:t>19 year-old</w:t>
      </w:r>
      <w:proofErr w:type="gramEnd"/>
      <w:r>
        <w:rPr>
          <w:rFonts w:ascii="Times New Roman" w:eastAsia="Times New Roman" w:hAnsi="Times New Roman" w:cs="Times New Roman"/>
          <w:sz w:val="24"/>
          <w:szCs w:val="24"/>
        </w:rPr>
        <w:t xml:space="preserve"> students who are at-risk of dropping out of high school, or who have already dropped out of a traditional high school, the opportunity to continue to pursue th</w:t>
      </w:r>
      <w:r>
        <w:rPr>
          <w:rFonts w:ascii="Times New Roman" w:eastAsia="Times New Roman" w:hAnsi="Times New Roman" w:cs="Times New Roman"/>
          <w:sz w:val="24"/>
          <w:szCs w:val="24"/>
        </w:rPr>
        <w:t xml:space="preserve">e goal of earning a high school diploma. Atherton Virtual Academy uses </w:t>
      </w:r>
      <w:proofErr w:type="spellStart"/>
      <w:r>
        <w:rPr>
          <w:rFonts w:ascii="Times New Roman" w:eastAsia="Times New Roman" w:hAnsi="Times New Roman" w:cs="Times New Roman"/>
          <w:sz w:val="24"/>
          <w:szCs w:val="24"/>
        </w:rPr>
        <w:t>Odysseyware</w:t>
      </w:r>
      <w:proofErr w:type="spellEnd"/>
      <w:r>
        <w:rPr>
          <w:rFonts w:ascii="Times New Roman" w:eastAsia="Times New Roman" w:hAnsi="Times New Roman" w:cs="Times New Roman"/>
          <w:sz w:val="24"/>
          <w:szCs w:val="24"/>
        </w:rPr>
        <w:t xml:space="preserve">, an online learning platform, to create a path for students to complete the Michigan Merit Curriculum and district requirements for graduation.  The program allows students </w:t>
      </w:r>
      <w:r>
        <w:rPr>
          <w:rFonts w:ascii="Times New Roman" w:eastAsia="Times New Roman" w:hAnsi="Times New Roman" w:cs="Times New Roman"/>
          <w:sz w:val="24"/>
          <w:szCs w:val="24"/>
        </w:rPr>
        <w:t xml:space="preserve">to demonstrate learning and progress through self-paced coursework, which may be accelerated or include individual interventions to ensure completion. The core curriculum and graduation requirements are the same as Atherton High School. </w:t>
      </w:r>
    </w:p>
    <w:p w:rsidR="00C16BD5" w:rsidRDefault="00C16BD5">
      <w:pPr>
        <w:spacing w:after="0" w:line="276" w:lineRule="auto"/>
        <w:rPr>
          <w:rFonts w:ascii="Times New Roman" w:eastAsia="Times New Roman" w:hAnsi="Times New Roman" w:cs="Times New Roman"/>
          <w:sz w:val="24"/>
          <w:szCs w:val="24"/>
        </w:rPr>
      </w:pPr>
    </w:p>
    <w:p w:rsidR="00C16BD5" w:rsidRDefault="00D533D8">
      <w:pPr>
        <w:numPr>
          <w:ilvl w:val="0"/>
          <w:numId w:val="2"/>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CURRICULUM</w:t>
      </w:r>
    </w:p>
    <w:p w:rsidR="00C16BD5" w:rsidRDefault="00D533D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core academic curriculum is a series of broad learning experiences students should have to prepare for an effective adult life.  The Atherton Community School district has analyzed the state’s recommendation for core academic curriculum and as such has </w:t>
      </w:r>
      <w:r>
        <w:rPr>
          <w:rFonts w:ascii="Times New Roman" w:eastAsia="Times New Roman" w:hAnsi="Times New Roman" w:cs="Times New Roman"/>
          <w:sz w:val="24"/>
          <w:szCs w:val="24"/>
        </w:rPr>
        <w:t>aligned programming.  Core subject areas include reading, writing, math, science and social studies.  Enhancements to existing curriculum are based on the research of best curricula and instructional practices.  Curricular improvements, implementation of n</w:t>
      </w:r>
      <w:r>
        <w:rPr>
          <w:rFonts w:ascii="Times New Roman" w:eastAsia="Times New Roman" w:hAnsi="Times New Roman" w:cs="Times New Roman"/>
          <w:sz w:val="24"/>
          <w:szCs w:val="24"/>
        </w:rPr>
        <w:t xml:space="preserve">ew instructional methods, and proper use of materials are supported by professional learning opportunities for staff. </w:t>
      </w:r>
    </w:p>
    <w:p w:rsidR="00C16BD5" w:rsidRDefault="00C16BD5">
      <w:pPr>
        <w:spacing w:after="0" w:line="276" w:lineRule="auto"/>
        <w:rPr>
          <w:rFonts w:ascii="Times New Roman" w:eastAsia="Times New Roman" w:hAnsi="Times New Roman" w:cs="Times New Roman"/>
          <w:sz w:val="24"/>
          <w:szCs w:val="24"/>
        </w:rPr>
      </w:pPr>
    </w:p>
    <w:p w:rsidR="00C16BD5" w:rsidRDefault="00D533D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core curriculum is available for review on the district website:  </w:t>
      </w:r>
      <w:hyperlink r:id="rId9">
        <w:r>
          <w:rPr>
            <w:rFonts w:ascii="Times New Roman" w:eastAsia="Times New Roman" w:hAnsi="Times New Roman" w:cs="Times New Roman"/>
            <w:color w:val="0000FF"/>
            <w:sz w:val="24"/>
            <w:szCs w:val="24"/>
            <w:u w:val="single"/>
          </w:rPr>
          <w:t>www.athertonscho</w:t>
        </w:r>
        <w:r>
          <w:rPr>
            <w:rFonts w:ascii="Times New Roman" w:eastAsia="Times New Roman" w:hAnsi="Times New Roman" w:cs="Times New Roman"/>
            <w:color w:val="0000FF"/>
            <w:sz w:val="24"/>
            <w:szCs w:val="24"/>
            <w:u w:val="single"/>
          </w:rPr>
          <w:t>ols.org</w:t>
        </w:r>
      </w:hyperlink>
      <w:r>
        <w:rPr>
          <w:rFonts w:ascii="Times New Roman" w:eastAsia="Times New Roman" w:hAnsi="Times New Roman" w:cs="Times New Roman"/>
          <w:sz w:val="24"/>
          <w:szCs w:val="24"/>
        </w:rPr>
        <w:t xml:space="preserve"> or through the Administration Office, 3354 South Genesee Road, Burton, Michigan.</w:t>
      </w:r>
    </w:p>
    <w:p w:rsidR="00C16BD5" w:rsidRDefault="00C16BD5">
      <w:pPr>
        <w:spacing w:after="0" w:line="276" w:lineRule="auto"/>
        <w:rPr>
          <w:rFonts w:ascii="Times New Roman" w:eastAsia="Times New Roman" w:hAnsi="Times New Roman" w:cs="Times New Roman"/>
          <w:sz w:val="24"/>
          <w:szCs w:val="24"/>
        </w:rPr>
      </w:pPr>
    </w:p>
    <w:p w:rsidR="00C16BD5" w:rsidRDefault="00C16BD5">
      <w:pPr>
        <w:spacing w:after="0" w:line="276" w:lineRule="auto"/>
        <w:rPr>
          <w:rFonts w:ascii="Times New Roman" w:eastAsia="Times New Roman" w:hAnsi="Times New Roman" w:cs="Times New Roman"/>
          <w:sz w:val="24"/>
          <w:szCs w:val="24"/>
        </w:rPr>
      </w:pPr>
    </w:p>
    <w:p w:rsidR="00C16BD5" w:rsidRDefault="00C16BD5">
      <w:pPr>
        <w:spacing w:after="0" w:line="276" w:lineRule="auto"/>
        <w:rPr>
          <w:rFonts w:ascii="Times New Roman" w:eastAsia="Times New Roman" w:hAnsi="Times New Roman" w:cs="Times New Roman"/>
          <w:sz w:val="24"/>
          <w:szCs w:val="24"/>
        </w:rPr>
      </w:pPr>
    </w:p>
    <w:p w:rsidR="00C16BD5" w:rsidRDefault="00C16BD5">
      <w:pPr>
        <w:spacing w:after="0" w:line="276" w:lineRule="auto"/>
        <w:rPr>
          <w:rFonts w:ascii="Times New Roman" w:eastAsia="Times New Roman" w:hAnsi="Times New Roman" w:cs="Times New Roman"/>
          <w:sz w:val="24"/>
          <w:szCs w:val="24"/>
        </w:rPr>
      </w:pPr>
    </w:p>
    <w:p w:rsidR="00C16BD5" w:rsidRDefault="00D533D8">
      <w:pPr>
        <w:numPr>
          <w:ilvl w:val="0"/>
          <w:numId w:val="2"/>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STUDENT ACHIEVEMENT</w:t>
      </w:r>
    </w:p>
    <w:p w:rsidR="00C16BD5" w:rsidRDefault="00D533D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NWEA MAP (Measure of Academic Progress) </w:t>
      </w:r>
    </w:p>
    <w:tbl>
      <w:tblPr>
        <w:tblStyle w:val="a"/>
        <w:tblW w:w="702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860"/>
        <w:gridCol w:w="780"/>
        <w:gridCol w:w="840"/>
        <w:gridCol w:w="825"/>
        <w:gridCol w:w="825"/>
      </w:tblGrid>
      <w:tr w:rsidR="00C16BD5">
        <w:trPr>
          <w:trHeight w:val="285"/>
        </w:trPr>
        <w:tc>
          <w:tcPr>
            <w:tcW w:w="1890" w:type="dxa"/>
          </w:tcPr>
          <w:p w:rsidR="00C16BD5" w:rsidRDefault="00D533D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NWEA</w:t>
            </w:r>
          </w:p>
        </w:tc>
        <w:tc>
          <w:tcPr>
            <w:tcW w:w="1860" w:type="dxa"/>
          </w:tcPr>
          <w:p w:rsidR="00C16BD5" w:rsidRDefault="00D533D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At/Above</w:t>
            </w:r>
          </w:p>
        </w:tc>
        <w:tc>
          <w:tcPr>
            <w:tcW w:w="780" w:type="dxa"/>
          </w:tcPr>
          <w:p w:rsidR="00C16BD5" w:rsidRDefault="00D533D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Fall 2021</w:t>
            </w:r>
          </w:p>
        </w:tc>
        <w:tc>
          <w:tcPr>
            <w:tcW w:w="840" w:type="dxa"/>
          </w:tcPr>
          <w:p w:rsidR="00C16BD5" w:rsidRDefault="00D533D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Winter 2022</w:t>
            </w:r>
          </w:p>
        </w:tc>
        <w:tc>
          <w:tcPr>
            <w:tcW w:w="825" w:type="dxa"/>
          </w:tcPr>
          <w:p w:rsidR="00C16BD5" w:rsidRDefault="00D533D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Spring</w:t>
            </w:r>
          </w:p>
          <w:p w:rsidR="00C16BD5" w:rsidRDefault="00D533D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2022</w:t>
            </w:r>
          </w:p>
        </w:tc>
        <w:tc>
          <w:tcPr>
            <w:tcW w:w="825" w:type="dxa"/>
          </w:tcPr>
          <w:p w:rsidR="00C16BD5" w:rsidRDefault="00D533D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Fall 2022</w:t>
            </w:r>
          </w:p>
        </w:tc>
      </w:tr>
      <w:tr w:rsidR="00C16BD5">
        <w:tc>
          <w:tcPr>
            <w:tcW w:w="189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Math</w:t>
            </w:r>
          </w:p>
        </w:tc>
        <w:tc>
          <w:tcPr>
            <w:tcW w:w="186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RIT</w:t>
            </w:r>
          </w:p>
        </w:tc>
        <w:tc>
          <w:tcPr>
            <w:tcW w:w="78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84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58%</w:t>
            </w:r>
          </w:p>
        </w:tc>
        <w:tc>
          <w:tcPr>
            <w:tcW w:w="825"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c>
          <w:tcPr>
            <w:tcW w:w="825"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70%</w:t>
            </w:r>
          </w:p>
        </w:tc>
      </w:tr>
      <w:tr w:rsidR="00C16BD5">
        <w:tc>
          <w:tcPr>
            <w:tcW w:w="1890" w:type="dxa"/>
          </w:tcPr>
          <w:p w:rsidR="00C16BD5" w:rsidRDefault="00C16BD5">
            <w:pPr>
              <w:spacing w:line="276" w:lineRule="auto"/>
              <w:rPr>
                <w:rFonts w:ascii="Times New Roman" w:eastAsia="Times New Roman" w:hAnsi="Times New Roman" w:cs="Times New Roman"/>
                <w:sz w:val="22"/>
                <w:szCs w:val="22"/>
              </w:rPr>
            </w:pPr>
          </w:p>
        </w:tc>
        <w:tc>
          <w:tcPr>
            <w:tcW w:w="186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National RIT</w:t>
            </w:r>
          </w:p>
        </w:tc>
        <w:tc>
          <w:tcPr>
            <w:tcW w:w="78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84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825"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825"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r>
      <w:tr w:rsidR="00C16BD5">
        <w:tc>
          <w:tcPr>
            <w:tcW w:w="189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Reading</w:t>
            </w:r>
          </w:p>
        </w:tc>
        <w:tc>
          <w:tcPr>
            <w:tcW w:w="186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RIT</w:t>
            </w:r>
          </w:p>
        </w:tc>
        <w:tc>
          <w:tcPr>
            <w:tcW w:w="78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84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69%</w:t>
            </w:r>
          </w:p>
        </w:tc>
        <w:tc>
          <w:tcPr>
            <w:tcW w:w="825"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tc>
        <w:tc>
          <w:tcPr>
            <w:tcW w:w="825"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59%</w:t>
            </w:r>
          </w:p>
        </w:tc>
      </w:tr>
      <w:tr w:rsidR="00C16BD5">
        <w:tc>
          <w:tcPr>
            <w:tcW w:w="1890" w:type="dxa"/>
          </w:tcPr>
          <w:p w:rsidR="00C16BD5" w:rsidRDefault="00C16BD5">
            <w:pPr>
              <w:spacing w:line="276" w:lineRule="auto"/>
              <w:rPr>
                <w:rFonts w:ascii="Times New Roman" w:eastAsia="Times New Roman" w:hAnsi="Times New Roman" w:cs="Times New Roman"/>
                <w:sz w:val="22"/>
                <w:szCs w:val="22"/>
              </w:rPr>
            </w:pPr>
          </w:p>
        </w:tc>
        <w:tc>
          <w:tcPr>
            <w:tcW w:w="186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National RIT</w:t>
            </w:r>
          </w:p>
        </w:tc>
        <w:tc>
          <w:tcPr>
            <w:tcW w:w="78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28%</w:t>
            </w:r>
          </w:p>
        </w:tc>
        <w:tc>
          <w:tcPr>
            <w:tcW w:w="840"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31%</w:t>
            </w:r>
          </w:p>
        </w:tc>
        <w:tc>
          <w:tcPr>
            <w:tcW w:w="825"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p>
        </w:tc>
        <w:tc>
          <w:tcPr>
            <w:tcW w:w="825" w:type="dxa"/>
          </w:tcPr>
          <w:p w:rsidR="00C16BD5" w:rsidRDefault="00D533D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37%</w:t>
            </w:r>
          </w:p>
        </w:tc>
      </w:tr>
    </w:tbl>
    <w:p w:rsidR="00C16BD5" w:rsidRDefault="00C16BD5">
      <w:pPr>
        <w:spacing w:after="0" w:line="276" w:lineRule="auto"/>
        <w:rPr>
          <w:rFonts w:ascii="Times New Roman" w:eastAsia="Times New Roman" w:hAnsi="Times New Roman" w:cs="Times New Roman"/>
          <w:sz w:val="24"/>
          <w:szCs w:val="24"/>
        </w:rPr>
      </w:pPr>
    </w:p>
    <w:p w:rsidR="00C16BD5" w:rsidRDefault="00D533D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 with Essay</w:t>
      </w:r>
    </w:p>
    <w:tbl>
      <w:tblPr>
        <w:tblStyle w:val="a0"/>
        <w:tblW w:w="4785" w:type="dxa"/>
        <w:tblInd w:w="-21" w:type="dxa"/>
        <w:tblLayout w:type="fixed"/>
        <w:tblLook w:val="0400" w:firstRow="0" w:lastRow="0" w:firstColumn="0" w:lastColumn="0" w:noHBand="0" w:noVBand="1"/>
      </w:tblPr>
      <w:tblGrid>
        <w:gridCol w:w="1275"/>
        <w:gridCol w:w="840"/>
        <w:gridCol w:w="1230"/>
        <w:gridCol w:w="1440"/>
      </w:tblGrid>
      <w:tr w:rsidR="00C16BD5">
        <w:trPr>
          <w:trHeight w:val="285"/>
        </w:trPr>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16BD5" w:rsidRDefault="00D533D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SAT</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16BD5" w:rsidRDefault="00D533D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Total</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ELA</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Math</w:t>
            </w:r>
          </w:p>
        </w:tc>
      </w:tr>
      <w:tr w:rsidR="00C16BD5">
        <w:trPr>
          <w:trHeight w:val="315"/>
        </w:trPr>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2018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824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428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396</w:t>
            </w:r>
          </w:p>
        </w:tc>
      </w:tr>
      <w:tr w:rsidR="00C16BD5">
        <w:trPr>
          <w:trHeight w:val="315"/>
        </w:trPr>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861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449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411</w:t>
            </w:r>
          </w:p>
        </w:tc>
      </w:tr>
      <w:tr w:rsidR="00C16BD5">
        <w:trPr>
          <w:trHeight w:val="315"/>
        </w:trPr>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2020</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r>
      <w:tr w:rsidR="00C16BD5">
        <w:trPr>
          <w:trHeight w:val="315"/>
        </w:trPr>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813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418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395</w:t>
            </w:r>
          </w:p>
        </w:tc>
      </w:tr>
      <w:tr w:rsidR="00C16BD5">
        <w:trPr>
          <w:trHeight w:val="315"/>
        </w:trPr>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2022</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891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450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BD5" w:rsidRDefault="00D533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441</w:t>
            </w:r>
          </w:p>
        </w:tc>
      </w:tr>
    </w:tbl>
    <w:p w:rsidR="00C16BD5" w:rsidRDefault="00C16BD5">
      <w:pPr>
        <w:spacing w:after="0" w:line="276" w:lineRule="auto"/>
        <w:rPr>
          <w:rFonts w:ascii="Times New Roman" w:eastAsia="Times New Roman" w:hAnsi="Times New Roman" w:cs="Times New Roman"/>
          <w:sz w:val="24"/>
          <w:szCs w:val="24"/>
        </w:rPr>
      </w:pPr>
    </w:p>
    <w:p w:rsidR="00C16BD5" w:rsidRDefault="00C16BD5">
      <w:pPr>
        <w:spacing w:after="0" w:line="276" w:lineRule="auto"/>
        <w:rPr>
          <w:rFonts w:ascii="Times New Roman" w:eastAsia="Times New Roman" w:hAnsi="Times New Roman" w:cs="Times New Roman"/>
          <w:b/>
          <w:sz w:val="24"/>
          <w:szCs w:val="24"/>
        </w:rPr>
      </w:pPr>
    </w:p>
    <w:p w:rsidR="00C16BD5" w:rsidRDefault="00D533D8">
      <w:pPr>
        <w:numPr>
          <w:ilvl w:val="0"/>
          <w:numId w:val="2"/>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PARENT-TEACHER CONFERENCES</w:t>
      </w:r>
    </w:p>
    <w:p w:rsidR="00C16BD5" w:rsidRDefault="00D533D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AVA staff and administration believe that parents play an integral role in a child’s education.  Parents/guardians are encouraged to attend all school functions such as Back-to-School Orientation, Open House, and Parent-Teacher Conferences.  Teacher-st</w:t>
      </w:r>
      <w:r>
        <w:rPr>
          <w:rFonts w:ascii="Times New Roman" w:eastAsia="Times New Roman" w:hAnsi="Times New Roman" w:cs="Times New Roman"/>
          <w:sz w:val="24"/>
          <w:szCs w:val="24"/>
        </w:rPr>
        <w:t xml:space="preserve">udent mentoring is a large component of the program.  Parents are contacted by their child’s mentor at least one time per week and the mentor meets with each student on a weekly basis.  </w:t>
      </w:r>
    </w:p>
    <w:tbl>
      <w:tblPr>
        <w:tblStyle w:val="a1"/>
        <w:tblW w:w="95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4335"/>
        <w:gridCol w:w="3849"/>
      </w:tblGrid>
      <w:tr w:rsidR="00C16BD5">
        <w:tc>
          <w:tcPr>
            <w:tcW w:w="9594" w:type="dxa"/>
            <w:gridSpan w:val="3"/>
          </w:tcPr>
          <w:p w:rsidR="00C16BD5" w:rsidRDefault="00D533D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 – Teacher Conference Data</w:t>
            </w:r>
          </w:p>
        </w:tc>
      </w:tr>
      <w:tr w:rsidR="00C16BD5">
        <w:tc>
          <w:tcPr>
            <w:tcW w:w="1410" w:type="dxa"/>
          </w:tcPr>
          <w:p w:rsidR="00C16BD5" w:rsidRDefault="00C16BD5">
            <w:pPr>
              <w:spacing w:line="276" w:lineRule="auto"/>
              <w:jc w:val="center"/>
              <w:rPr>
                <w:rFonts w:ascii="Times New Roman" w:eastAsia="Times New Roman" w:hAnsi="Times New Roman" w:cs="Times New Roman"/>
                <w:sz w:val="24"/>
                <w:szCs w:val="24"/>
              </w:rPr>
            </w:pPr>
          </w:p>
        </w:tc>
        <w:tc>
          <w:tcPr>
            <w:tcW w:w="4335" w:type="dxa"/>
          </w:tcPr>
          <w:p w:rsidR="00C16BD5" w:rsidRDefault="00D533D8">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3849" w:type="dxa"/>
          </w:tcPr>
          <w:p w:rsidR="00C16BD5" w:rsidRDefault="00D533D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r>
      <w:tr w:rsidR="00C16BD5">
        <w:trPr>
          <w:trHeight w:val="240"/>
        </w:trPr>
        <w:tc>
          <w:tcPr>
            <w:tcW w:w="1410" w:type="dxa"/>
          </w:tcPr>
          <w:p w:rsidR="00C16BD5" w:rsidRDefault="00D533D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p>
        </w:tc>
        <w:tc>
          <w:tcPr>
            <w:tcW w:w="4335" w:type="dxa"/>
          </w:tcPr>
          <w:p w:rsidR="00C16BD5" w:rsidRDefault="00D533D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849" w:type="dxa"/>
          </w:tcPr>
          <w:p w:rsidR="00C16BD5" w:rsidRDefault="00D533D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C16BD5">
        <w:trPr>
          <w:trHeight w:val="240"/>
        </w:trPr>
        <w:tc>
          <w:tcPr>
            <w:tcW w:w="1410" w:type="dxa"/>
          </w:tcPr>
          <w:p w:rsidR="00C16BD5" w:rsidRDefault="00D533D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c>
          <w:tcPr>
            <w:tcW w:w="4335" w:type="dxa"/>
          </w:tcPr>
          <w:p w:rsidR="00C16BD5" w:rsidRDefault="00D533D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849" w:type="dxa"/>
          </w:tcPr>
          <w:p w:rsidR="00C16BD5" w:rsidRDefault="00D533D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C16BD5">
        <w:trPr>
          <w:trHeight w:val="240"/>
        </w:trPr>
        <w:tc>
          <w:tcPr>
            <w:tcW w:w="1410" w:type="dxa"/>
          </w:tcPr>
          <w:p w:rsidR="00C16BD5" w:rsidRDefault="00D533D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tc>
        <w:tc>
          <w:tcPr>
            <w:tcW w:w="4335" w:type="dxa"/>
          </w:tcPr>
          <w:p w:rsidR="00C16BD5" w:rsidRDefault="00D533D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 - Virtual Learning</w:t>
            </w:r>
          </w:p>
        </w:tc>
        <w:tc>
          <w:tcPr>
            <w:tcW w:w="3849" w:type="dxa"/>
          </w:tcPr>
          <w:p w:rsidR="00C16BD5" w:rsidRDefault="00D533D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C16BD5">
        <w:trPr>
          <w:trHeight w:val="240"/>
        </w:trPr>
        <w:tc>
          <w:tcPr>
            <w:tcW w:w="1410" w:type="dxa"/>
          </w:tcPr>
          <w:p w:rsidR="00C16BD5" w:rsidRDefault="00D533D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4335" w:type="dxa"/>
          </w:tcPr>
          <w:p w:rsidR="00C16BD5" w:rsidRDefault="00D533D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3849" w:type="dxa"/>
          </w:tcPr>
          <w:p w:rsidR="00C16BD5" w:rsidRDefault="00D533D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bl>
    <w:p w:rsidR="00C16BD5" w:rsidRDefault="00C16BD5">
      <w:pPr>
        <w:spacing w:after="0" w:line="276" w:lineRule="auto"/>
        <w:rPr>
          <w:rFonts w:ascii="Times New Roman" w:eastAsia="Times New Roman" w:hAnsi="Times New Roman" w:cs="Times New Roman"/>
          <w:sz w:val="24"/>
          <w:szCs w:val="24"/>
        </w:rPr>
      </w:pPr>
    </w:p>
    <w:p w:rsidR="00C16BD5" w:rsidRDefault="00D533D8">
      <w:pPr>
        <w:numPr>
          <w:ilvl w:val="0"/>
          <w:numId w:val="2"/>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HIGH SCHOOLS, ONLY</w:t>
      </w:r>
    </w:p>
    <w:p w:rsidR="00C16BD5" w:rsidRDefault="00D533D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Dual Enrollment</w:t>
      </w:r>
    </w:p>
    <w:p w:rsidR="00C16BD5" w:rsidRDefault="00D533D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Michigan law it is possible (meeting certain criteria) for some students to be enrolled and taking classes at both Atherton Virtual Academy and a Michigan public/private college or university.  During the 2020-2021 school year there were no students </w:t>
      </w:r>
      <w:r>
        <w:rPr>
          <w:rFonts w:ascii="Times New Roman" w:eastAsia="Times New Roman" w:hAnsi="Times New Roman" w:cs="Times New Roman"/>
          <w:sz w:val="24"/>
          <w:szCs w:val="24"/>
        </w:rPr>
        <w:t>dual enrolled at the Academy and a local college/university.</w:t>
      </w:r>
    </w:p>
    <w:p w:rsidR="00C16BD5" w:rsidRDefault="00C16BD5">
      <w:pPr>
        <w:spacing w:after="0" w:line="276" w:lineRule="auto"/>
        <w:rPr>
          <w:rFonts w:ascii="Times New Roman" w:eastAsia="Times New Roman" w:hAnsi="Times New Roman" w:cs="Times New Roman"/>
          <w:sz w:val="24"/>
          <w:szCs w:val="24"/>
        </w:rPr>
      </w:pPr>
    </w:p>
    <w:p w:rsidR="00C16BD5" w:rsidRDefault="00D533D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Equivalent Courses</w:t>
      </w:r>
    </w:p>
    <w:p w:rsidR="00C16BD5" w:rsidRDefault="00D533D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Placement (AP) programs are a cooperative educational endeavor of secondary schools, colleges, and the College Board.  AP courses are intended to be the equiv</w:t>
      </w:r>
      <w:r>
        <w:rPr>
          <w:rFonts w:ascii="Times New Roman" w:eastAsia="Times New Roman" w:hAnsi="Times New Roman" w:cs="Times New Roman"/>
          <w:sz w:val="24"/>
          <w:szCs w:val="24"/>
        </w:rPr>
        <w:t xml:space="preserve">alent of a college-level freshman course and can be worth college credit depending on which college or university the student will attend.  </w:t>
      </w:r>
    </w:p>
    <w:p w:rsidR="00C16BD5" w:rsidRDefault="00C16BD5">
      <w:pPr>
        <w:spacing w:after="0" w:line="276" w:lineRule="auto"/>
        <w:rPr>
          <w:rFonts w:ascii="Times New Roman" w:eastAsia="Times New Roman" w:hAnsi="Times New Roman" w:cs="Times New Roman"/>
          <w:sz w:val="24"/>
          <w:szCs w:val="24"/>
        </w:rPr>
      </w:pPr>
    </w:p>
    <w:p w:rsidR="00C16BD5" w:rsidRDefault="00C16BD5">
      <w:pPr>
        <w:spacing w:after="0" w:line="276" w:lineRule="auto"/>
        <w:rPr>
          <w:rFonts w:ascii="Times New Roman" w:eastAsia="Times New Roman" w:hAnsi="Times New Roman" w:cs="Times New Roman"/>
          <w:b/>
          <w:sz w:val="24"/>
          <w:szCs w:val="24"/>
        </w:rPr>
      </w:pPr>
    </w:p>
    <w:p w:rsidR="00C16BD5" w:rsidRDefault="00C16BD5">
      <w:pPr>
        <w:spacing w:after="0" w:line="276" w:lineRule="auto"/>
        <w:rPr>
          <w:rFonts w:ascii="Times New Roman" w:eastAsia="Times New Roman" w:hAnsi="Times New Roman" w:cs="Times New Roman"/>
          <w:b/>
          <w:sz w:val="24"/>
          <w:szCs w:val="24"/>
        </w:rPr>
      </w:pPr>
    </w:p>
    <w:p w:rsidR="00C16BD5" w:rsidRDefault="00D533D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Enrolled in College Equivalent Courses</w:t>
      </w:r>
    </w:p>
    <w:p w:rsidR="00C16BD5" w:rsidRDefault="00D533D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During the 2021-2022 school year there were no AP courses offere</w:t>
      </w:r>
      <w:r>
        <w:rPr>
          <w:rFonts w:ascii="Times New Roman" w:eastAsia="Times New Roman" w:hAnsi="Times New Roman" w:cs="Times New Roman"/>
          <w:sz w:val="24"/>
          <w:szCs w:val="24"/>
        </w:rPr>
        <w:t xml:space="preserve">d at the Academy.  Students may participate in AP courses at Atherton Junior Senior High School if they meet all district policies to participate.  </w:t>
      </w:r>
    </w:p>
    <w:p w:rsidR="00C16BD5" w:rsidRDefault="00C16BD5">
      <w:pPr>
        <w:spacing w:after="0" w:line="276" w:lineRule="auto"/>
        <w:rPr>
          <w:rFonts w:ascii="Times New Roman" w:eastAsia="Times New Roman" w:hAnsi="Times New Roman" w:cs="Times New Roman"/>
          <w:sz w:val="24"/>
          <w:szCs w:val="24"/>
        </w:rPr>
      </w:pPr>
    </w:p>
    <w:p w:rsidR="00C16BD5" w:rsidRDefault="00D533D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Receiving a Score Leading to College Credit</w:t>
      </w:r>
    </w:p>
    <w:p w:rsidR="00C16BD5" w:rsidRDefault="00D533D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not applicable to Atherton Virtual Academy fo</w:t>
      </w:r>
      <w:r>
        <w:rPr>
          <w:rFonts w:ascii="Times New Roman" w:eastAsia="Times New Roman" w:hAnsi="Times New Roman" w:cs="Times New Roman"/>
          <w:sz w:val="24"/>
          <w:szCs w:val="24"/>
        </w:rPr>
        <w:t>r the 2021-2022 school year. Please see the paragraph above.</w:t>
      </w:r>
    </w:p>
    <w:p w:rsidR="00C16BD5" w:rsidRDefault="00C16BD5">
      <w:pPr>
        <w:spacing w:after="0" w:line="276" w:lineRule="auto"/>
        <w:rPr>
          <w:rFonts w:ascii="Times New Roman" w:eastAsia="Times New Roman" w:hAnsi="Times New Roman" w:cs="Times New Roman"/>
          <w:sz w:val="24"/>
          <w:szCs w:val="24"/>
        </w:rPr>
      </w:pPr>
    </w:p>
    <w:p w:rsidR="00C16BD5" w:rsidRDefault="00D533D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Atherton Community Schools and Atherton Virtual Academy are committed to meeting the needs of all students.  At AVA, struggling students benefit from individual intervention courses and plans, m</w:t>
      </w:r>
      <w:r>
        <w:rPr>
          <w:rFonts w:ascii="Times New Roman" w:eastAsia="Times New Roman" w:hAnsi="Times New Roman" w:cs="Times New Roman"/>
          <w:sz w:val="24"/>
          <w:szCs w:val="24"/>
        </w:rPr>
        <w:t xml:space="preserve">entoring, credit recovery, and one-to-one instruction from highly qualified teachers in a flexible schedule learning environment.  AVA also provides rigorous learning opportunities that </w:t>
      </w:r>
      <w:proofErr w:type="gramStart"/>
      <w:r>
        <w:rPr>
          <w:rFonts w:ascii="Times New Roman" w:eastAsia="Times New Roman" w:hAnsi="Times New Roman" w:cs="Times New Roman"/>
          <w:sz w:val="24"/>
          <w:szCs w:val="24"/>
        </w:rPr>
        <w:t>include  higher</w:t>
      </w:r>
      <w:proofErr w:type="gramEnd"/>
      <w:r>
        <w:rPr>
          <w:rFonts w:ascii="Times New Roman" w:eastAsia="Times New Roman" w:hAnsi="Times New Roman" w:cs="Times New Roman"/>
          <w:sz w:val="24"/>
          <w:szCs w:val="24"/>
        </w:rPr>
        <w:t>-level electives, challenging classes, and SAT preparat</w:t>
      </w:r>
      <w:r>
        <w:rPr>
          <w:rFonts w:ascii="Times New Roman" w:eastAsia="Times New Roman" w:hAnsi="Times New Roman" w:cs="Times New Roman"/>
          <w:sz w:val="24"/>
          <w:szCs w:val="24"/>
        </w:rPr>
        <w:t xml:space="preserve">ion courses to meet graduation requirements.  To support the social and emotional needs of our students we provide one-to-one mentoring, college field trips, employability skills training, and support in designing a plan for life beyond high school.  </w:t>
      </w:r>
    </w:p>
    <w:p w:rsidR="00C16BD5" w:rsidRDefault="00C16BD5">
      <w:pPr>
        <w:spacing w:after="0" w:line="276" w:lineRule="auto"/>
        <w:rPr>
          <w:rFonts w:ascii="Times New Roman" w:eastAsia="Times New Roman" w:hAnsi="Times New Roman" w:cs="Times New Roman"/>
          <w:sz w:val="24"/>
          <w:szCs w:val="24"/>
        </w:rPr>
      </w:pPr>
    </w:p>
    <w:p w:rsidR="00C16BD5" w:rsidRDefault="00D533D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Atherton Virtual Academy staff is committed to providing a quality experience for all students!</w:t>
      </w:r>
    </w:p>
    <w:p w:rsidR="00C16BD5" w:rsidRDefault="00C16BD5">
      <w:pPr>
        <w:spacing w:after="0" w:line="276" w:lineRule="auto"/>
        <w:rPr>
          <w:rFonts w:ascii="Times New Roman" w:eastAsia="Times New Roman" w:hAnsi="Times New Roman" w:cs="Times New Roman"/>
          <w:sz w:val="24"/>
          <w:szCs w:val="24"/>
        </w:rPr>
      </w:pPr>
    </w:p>
    <w:p w:rsidR="00C16BD5" w:rsidRDefault="00D533D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C16BD5" w:rsidRDefault="00D533D8">
      <w:pPr>
        <w:spacing w:after="0" w:line="276" w:lineRule="auto"/>
        <w:rPr>
          <w:rFonts w:ascii="Pacifico" w:eastAsia="Pacifico" w:hAnsi="Pacifico" w:cs="Pacifico"/>
          <w:sz w:val="32"/>
          <w:szCs w:val="32"/>
        </w:rPr>
      </w:pPr>
      <w:r>
        <w:rPr>
          <w:rFonts w:ascii="Pacifico" w:eastAsia="Pacifico" w:hAnsi="Pacifico" w:cs="Pacifico"/>
          <w:sz w:val="32"/>
          <w:szCs w:val="32"/>
        </w:rPr>
        <w:t>Tina Davis</w:t>
      </w:r>
    </w:p>
    <w:p w:rsidR="00C16BD5" w:rsidRDefault="00D533D8">
      <w:pPr>
        <w:spacing w:after="0" w:line="276" w:lineRule="auto"/>
      </w:pPr>
      <w:r>
        <w:rPr>
          <w:rFonts w:ascii="Times New Roman" w:eastAsia="Times New Roman" w:hAnsi="Times New Roman" w:cs="Times New Roman"/>
          <w:sz w:val="24"/>
          <w:szCs w:val="24"/>
          <w:highlight w:val="white"/>
        </w:rPr>
        <w:t xml:space="preserve">Tina Davis, </w:t>
      </w:r>
      <w:proofErr w:type="spellStart"/>
      <w:r>
        <w:rPr>
          <w:rFonts w:ascii="Times New Roman" w:eastAsia="Times New Roman" w:hAnsi="Times New Roman" w:cs="Times New Roman"/>
          <w:sz w:val="24"/>
          <w:szCs w:val="24"/>
          <w:highlight w:val="white"/>
        </w:rPr>
        <w:t>Ed.S</w:t>
      </w:r>
      <w:proofErr w:type="spellEnd"/>
      <w:r>
        <w:rPr>
          <w:rFonts w:ascii="Times New Roman" w:eastAsia="Times New Roman" w:hAnsi="Times New Roman" w:cs="Times New Roman"/>
          <w:sz w:val="24"/>
          <w:szCs w:val="24"/>
          <w:highlight w:val="white"/>
        </w:rPr>
        <w:t>.</w:t>
      </w:r>
      <w:r>
        <w:rPr>
          <w:noProof/>
        </w:rPr>
        <mc:AlternateContent>
          <mc:Choice Requires="wpg">
            <w:drawing>
              <wp:anchor distT="36576" distB="36576" distL="36576" distR="36576" simplePos="0" relativeHeight="251658240" behindDoc="0" locked="0" layoutInCell="1" hidden="0" allowOverlap="1">
                <wp:simplePos x="0" y="0"/>
                <wp:positionH relativeFrom="column">
                  <wp:posOffset>-293623</wp:posOffset>
                </wp:positionH>
                <wp:positionV relativeFrom="paragraph">
                  <wp:posOffset>455676</wp:posOffset>
                </wp:positionV>
                <wp:extent cx="6858000" cy="304800"/>
                <wp:effectExtent l="0" t="0" r="0" b="0"/>
                <wp:wrapNone/>
                <wp:docPr id="1" name=""/>
                <wp:cNvGraphicFramePr/>
                <a:graphic xmlns:a="http://schemas.openxmlformats.org/drawingml/2006/main">
                  <a:graphicData uri="http://schemas.microsoft.com/office/word/2010/wordprocessingShape">
                    <wps:wsp>
                      <wps:cNvSpPr/>
                      <wps:spPr>
                        <a:xfrm>
                          <a:off x="1921763" y="3632363"/>
                          <a:ext cx="6848475" cy="295275"/>
                        </a:xfrm>
                        <a:prstGeom prst="rect">
                          <a:avLst/>
                        </a:prstGeom>
                        <a:noFill/>
                        <a:ln>
                          <a:noFill/>
                        </a:ln>
                      </wps:spPr>
                      <wps:txbx>
                        <w:txbxContent>
                          <w:p w:rsidR="00C16BD5" w:rsidRDefault="00C16BD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-293623</wp:posOffset>
                </wp:positionH>
                <wp:positionV relativeFrom="paragraph">
                  <wp:posOffset>455676</wp:posOffset>
                </wp:positionV>
                <wp:extent cx="6858000" cy="3048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858000" cy="304800"/>
                        </a:xfrm>
                        <a:prstGeom prst="rect"/>
                        <a:ln/>
                      </pic:spPr>
                    </pic:pic>
                  </a:graphicData>
                </a:graphic>
              </wp:anchor>
            </w:drawing>
          </mc:Fallback>
        </mc:AlternateContent>
      </w:r>
    </w:p>
    <w:sectPr w:rsidR="00C16BD5">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533D8">
      <w:pPr>
        <w:spacing w:after="0" w:line="240" w:lineRule="auto"/>
      </w:pPr>
      <w:r>
        <w:separator/>
      </w:r>
    </w:p>
  </w:endnote>
  <w:endnote w:type="continuationSeparator" w:id="0">
    <w:p w:rsidR="00000000" w:rsidRDefault="00D5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cific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BD5" w:rsidRDefault="00C16B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533D8">
      <w:pPr>
        <w:spacing w:after="0" w:line="240" w:lineRule="auto"/>
      </w:pPr>
      <w:r>
        <w:separator/>
      </w:r>
    </w:p>
  </w:footnote>
  <w:footnote w:type="continuationSeparator" w:id="0">
    <w:p w:rsidR="00000000" w:rsidRDefault="00D5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BD5" w:rsidRDefault="00D533D8">
    <w:pPr>
      <w:widowControl w:val="0"/>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anchor distT="114300" distB="114300" distL="114300" distR="114300" simplePos="0" relativeHeight="251658240" behindDoc="0" locked="0" layoutInCell="1" hidden="0" allowOverlap="1">
          <wp:simplePos x="0" y="0"/>
          <wp:positionH relativeFrom="page">
            <wp:posOffset>561268</wp:posOffset>
          </wp:positionH>
          <wp:positionV relativeFrom="page">
            <wp:posOffset>285099</wp:posOffset>
          </wp:positionV>
          <wp:extent cx="1100789" cy="1100789"/>
          <wp:effectExtent l="25400" t="25400" r="25400" b="2540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0789" cy="1100789"/>
                  </a:xfrm>
                  <a:prstGeom prst="rect">
                    <a:avLst/>
                  </a:prstGeom>
                  <a:ln w="25400">
                    <a:solidFill>
                      <a:srgbClr val="000000"/>
                    </a:solidFill>
                    <a:prstDash val="solid"/>
                  </a:ln>
                </pic:spPr>
              </pic:pic>
            </a:graphicData>
          </a:graphic>
        </wp:anchor>
      </w:drawing>
    </w:r>
    <w:r>
      <w:rPr>
        <w:rFonts w:ascii="Times New Roman" w:eastAsia="Times New Roman" w:hAnsi="Times New Roman" w:cs="Times New Roman"/>
        <w:b/>
        <w:sz w:val="26"/>
        <w:szCs w:val="26"/>
      </w:rPr>
      <w:t>Atherton Virtual Academy</w:t>
    </w:r>
  </w:p>
  <w:p w:rsidR="00C16BD5" w:rsidRDefault="00D533D8">
    <w:pPr>
      <w:widowControl w:val="0"/>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Atherton Community Schools</w:t>
    </w:r>
  </w:p>
  <w:p w:rsidR="00C16BD5" w:rsidRDefault="00D533D8">
    <w:pPr>
      <w:widowControl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2400 Clarice Avenue</w:t>
    </w:r>
  </w:p>
  <w:p w:rsidR="00C16BD5" w:rsidRDefault="00D533D8">
    <w:pPr>
      <w:widowControl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Burton, Michigan 48519</w:t>
    </w:r>
  </w:p>
  <w:p w:rsidR="00C16BD5" w:rsidRDefault="00D533D8">
    <w:pPr>
      <w:widowControl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810.591.0850 Phone</w:t>
    </w:r>
  </w:p>
  <w:p w:rsidR="00C16BD5" w:rsidRDefault="00D533D8">
    <w:pPr>
      <w:widowControl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810.591.9191 Fax</w:t>
    </w:r>
  </w:p>
  <w:p w:rsidR="00C16BD5" w:rsidRDefault="00C16B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A4E60"/>
    <w:multiLevelType w:val="multilevel"/>
    <w:tmpl w:val="F4B8E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383C2B"/>
    <w:multiLevelType w:val="multilevel"/>
    <w:tmpl w:val="DC8A3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FF5BC6"/>
    <w:multiLevelType w:val="multilevel"/>
    <w:tmpl w:val="25CEB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D5"/>
    <w:rsid w:val="00507069"/>
    <w:rsid w:val="00C16BD5"/>
    <w:rsid w:val="00D5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23065-8ECB-45E1-90BD-D47518E0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3F3UC7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QhQiI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thertonschool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Sarah</dc:creator>
  <cp:lastModifiedBy>Gilmore, Sarah</cp:lastModifiedBy>
  <cp:revision>2</cp:revision>
  <dcterms:created xsi:type="dcterms:W3CDTF">2023-01-17T19:03:00Z</dcterms:created>
  <dcterms:modified xsi:type="dcterms:W3CDTF">2023-01-17T19:03:00Z</dcterms:modified>
</cp:coreProperties>
</file>