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85D3" w14:textId="72BD2DF4" w:rsidR="00344295" w:rsidRDefault="00EF0C79" w:rsidP="002A08A8">
      <w:pPr>
        <w:pStyle w:val="Title"/>
        <w:spacing w:after="0"/>
      </w:pPr>
      <w:bookmarkStart w:id="0" w:name="_GoBack"/>
      <w:bookmarkEnd w:id="0"/>
      <w:r>
        <w:t>Strategies for Academic Success</w:t>
      </w:r>
      <w:r w:rsidR="00AB4EDC">
        <w:t xml:space="preserve"> – EL1087</w:t>
      </w:r>
    </w:p>
    <w:p w14:paraId="157BD363" w14:textId="77777777" w:rsidR="00344295" w:rsidRPr="00344295" w:rsidRDefault="00344295" w:rsidP="002054D1">
      <w:pPr>
        <w:pStyle w:val="Subtitle"/>
      </w:pPr>
      <w:r>
        <w:t>Course Overview and Syllabus</w:t>
      </w:r>
    </w:p>
    <w:p w14:paraId="4A692760" w14:textId="77777777" w:rsidR="00344295" w:rsidRPr="0076663E" w:rsidRDefault="00344295" w:rsidP="002054D1">
      <w:r w:rsidRPr="002054D1">
        <w:rPr>
          <w:b/>
        </w:rPr>
        <w:t>Course Number:</w:t>
      </w:r>
      <w:r w:rsidRPr="0076663E">
        <w:t xml:space="preserve"> </w:t>
      </w:r>
      <w:r w:rsidR="006F44E1">
        <w:t>EL</w:t>
      </w:r>
      <w:r w:rsidR="00EF0C79">
        <w:t>1187</w:t>
      </w:r>
      <w:r>
        <w:tab/>
      </w:r>
      <w:r>
        <w:tab/>
      </w:r>
      <w:r>
        <w:tab/>
      </w:r>
      <w:r>
        <w:tab/>
      </w:r>
      <w:r w:rsidRPr="002054D1">
        <w:rPr>
          <w:b/>
        </w:rPr>
        <w:t>Grade level:</w:t>
      </w:r>
      <w:r w:rsidRPr="0076663E">
        <w:t xml:space="preserve"> </w:t>
      </w:r>
      <w:r w:rsidR="00A04EE2">
        <w:t>9</w:t>
      </w:r>
      <w:r>
        <w:t>–12</w:t>
      </w:r>
    </w:p>
    <w:p w14:paraId="3F18605F" w14:textId="77777777" w:rsidR="00344295" w:rsidRPr="00344295" w:rsidRDefault="00344295" w:rsidP="002054D1">
      <w:r w:rsidRPr="002054D1">
        <w:rPr>
          <w:b/>
        </w:rPr>
        <w:t>Prerequisite Courses:</w:t>
      </w:r>
      <w:r w:rsidRPr="00344295">
        <w:t xml:space="preserve"> None</w:t>
      </w:r>
      <w:r>
        <w:tab/>
      </w:r>
      <w:r>
        <w:tab/>
      </w:r>
      <w:r>
        <w:tab/>
      </w:r>
      <w:r w:rsidR="002054D1">
        <w:tab/>
      </w:r>
      <w:r w:rsidRPr="002054D1">
        <w:rPr>
          <w:b/>
        </w:rPr>
        <w:t>Credits:</w:t>
      </w:r>
      <w:r w:rsidRPr="0076663E">
        <w:t xml:space="preserve"> </w:t>
      </w:r>
      <w:r w:rsidR="00EF0C79">
        <w:t>0.5</w:t>
      </w:r>
    </w:p>
    <w:p w14:paraId="2535F5D4" w14:textId="77777777" w:rsidR="00344295" w:rsidRPr="00700CF0" w:rsidRDefault="00344295" w:rsidP="002054D1">
      <w:pPr>
        <w:pStyle w:val="Heading1"/>
      </w:pPr>
      <w:r w:rsidRPr="00700CF0">
        <w:t>Course Description</w:t>
      </w:r>
    </w:p>
    <w:p w14:paraId="22248D46" w14:textId="503290FE" w:rsidR="00C63E7A" w:rsidRDefault="00C63E7A" w:rsidP="002054D1">
      <w:pPr>
        <w:pStyle w:val="Heading1"/>
        <w:rPr>
          <w:b w:val="0"/>
          <w:bCs w:val="0"/>
          <w:color w:val="231F20"/>
        </w:rPr>
      </w:pPr>
      <w:r w:rsidRPr="00C63E7A">
        <w:rPr>
          <w:b w:val="0"/>
          <w:bCs w:val="0"/>
          <w:color w:val="231F20"/>
        </w:rPr>
        <w:t xml:space="preserve">Offering a comprehensive analysis of different types of motivation, study habits, and learning styles, this one-semester course encourages high school students to take control of their learning by exploring varying strategies for success. Providing engaging lessons that will help students identify what works best for them individually, this one-semester course covers important study skills, such as strategies for taking high-quality notes, memorization techniques, test-taking strategies, benefits of visual aids, and reading techniques. </w:t>
      </w:r>
    </w:p>
    <w:p w14:paraId="6F4C864D" w14:textId="77777777" w:rsidR="00344295" w:rsidRPr="00C31E7D" w:rsidRDefault="00344295" w:rsidP="002054D1">
      <w:pPr>
        <w:pStyle w:val="Heading1"/>
      </w:pPr>
      <w:r w:rsidRPr="00C31E7D">
        <w:t xml:space="preserve">Course </w:t>
      </w:r>
      <w:r w:rsidRPr="00344295">
        <w:t>Objectives</w:t>
      </w:r>
    </w:p>
    <w:p w14:paraId="65C929F0" w14:textId="77777777" w:rsidR="00344295" w:rsidRPr="002054D1" w:rsidRDefault="00344295" w:rsidP="002054D1">
      <w:r w:rsidRPr="002054D1">
        <w:t>Throughout the course, you will meet the following goals:</w:t>
      </w:r>
    </w:p>
    <w:p w14:paraId="715AC0AA" w14:textId="77777777" w:rsidR="00EF0C79" w:rsidRPr="00EF0C79" w:rsidRDefault="00EF0C79" w:rsidP="00EF0C79">
      <w:pPr>
        <w:pStyle w:val="ListParagraph"/>
        <w:widowControl/>
        <w:numPr>
          <w:ilvl w:val="0"/>
          <w:numId w:val="26"/>
        </w:numPr>
        <w:spacing w:before="0" w:after="100" w:line="240" w:lineRule="auto"/>
        <w:ind w:right="360"/>
        <w:contextualSpacing w:val="0"/>
      </w:pPr>
      <w:r w:rsidRPr="00EF0C79">
        <w:t xml:space="preserve">Compare different types of motivation and explain how motivation affects academics  </w:t>
      </w:r>
    </w:p>
    <w:p w14:paraId="419E29DA" w14:textId="77777777" w:rsidR="00EF0C79" w:rsidRPr="00EF0C79" w:rsidRDefault="00EF0C79" w:rsidP="00EF0C79">
      <w:pPr>
        <w:pStyle w:val="ListParagraph"/>
        <w:widowControl/>
        <w:numPr>
          <w:ilvl w:val="0"/>
          <w:numId w:val="26"/>
        </w:numPr>
        <w:spacing w:before="0" w:after="100" w:line="240" w:lineRule="auto"/>
        <w:ind w:right="360"/>
        <w:contextualSpacing w:val="0"/>
      </w:pPr>
      <w:r w:rsidRPr="00EF0C79">
        <w:t xml:space="preserve">Understand the concept of academic integrity, and define cheating as it relates to online learning  </w:t>
      </w:r>
    </w:p>
    <w:p w14:paraId="6BB85FD7" w14:textId="77777777" w:rsidR="00EF0C79" w:rsidRPr="00EF0C79" w:rsidRDefault="00EF0C79" w:rsidP="00EF0C79">
      <w:pPr>
        <w:pStyle w:val="ListParagraph"/>
        <w:widowControl/>
        <w:numPr>
          <w:ilvl w:val="0"/>
          <w:numId w:val="26"/>
        </w:numPr>
        <w:spacing w:before="0" w:after="100" w:line="240" w:lineRule="auto"/>
        <w:ind w:right="360"/>
        <w:contextualSpacing w:val="0"/>
      </w:pPr>
      <w:r w:rsidRPr="00EF0C79">
        <w:t>Identify different types of organizers, and describe the purposes of each</w:t>
      </w:r>
    </w:p>
    <w:p w14:paraId="1B41BE88" w14:textId="77777777" w:rsidR="00EF0C79" w:rsidRPr="00EF0C79" w:rsidRDefault="00EF0C79" w:rsidP="00EF0C79">
      <w:pPr>
        <w:pStyle w:val="ListParagraph"/>
        <w:widowControl/>
        <w:numPr>
          <w:ilvl w:val="0"/>
          <w:numId w:val="26"/>
        </w:numPr>
        <w:spacing w:before="0" w:after="100" w:line="240" w:lineRule="auto"/>
        <w:ind w:right="360"/>
        <w:contextualSpacing w:val="0"/>
      </w:pPr>
      <w:r w:rsidRPr="00EF0C79">
        <w:t>Describe different strategies for remembering information</w:t>
      </w:r>
    </w:p>
    <w:p w14:paraId="443731F6" w14:textId="77777777" w:rsidR="00EF0C79" w:rsidRPr="00EF0C79" w:rsidRDefault="00EF0C79" w:rsidP="00EF0C79">
      <w:pPr>
        <w:pStyle w:val="ListParagraph"/>
        <w:widowControl/>
        <w:numPr>
          <w:ilvl w:val="0"/>
          <w:numId w:val="26"/>
        </w:numPr>
        <w:spacing w:before="0" w:after="100" w:line="240" w:lineRule="auto"/>
        <w:ind w:right="360"/>
        <w:contextualSpacing w:val="0"/>
      </w:pPr>
      <w:r w:rsidRPr="00EF0C79">
        <w:t>List and explain each of the five steps of test preparation</w:t>
      </w:r>
    </w:p>
    <w:p w14:paraId="148479F2" w14:textId="77777777" w:rsidR="00EF0C79" w:rsidRPr="00EF0C79" w:rsidRDefault="00EF0C79" w:rsidP="00EF0C79">
      <w:pPr>
        <w:pStyle w:val="ListParagraph"/>
        <w:widowControl/>
        <w:numPr>
          <w:ilvl w:val="0"/>
          <w:numId w:val="26"/>
        </w:numPr>
        <w:spacing w:before="0" w:after="100" w:line="240" w:lineRule="auto"/>
        <w:ind w:right="360"/>
        <w:contextualSpacing w:val="0"/>
      </w:pPr>
      <w:r w:rsidRPr="00EF0C79">
        <w:t>Explain the importance of following a rubric</w:t>
      </w:r>
    </w:p>
    <w:p w14:paraId="3946E8A5" w14:textId="77777777" w:rsidR="00EF0C79" w:rsidRPr="00EF0C79" w:rsidRDefault="00EF0C79" w:rsidP="00EF0C79">
      <w:pPr>
        <w:pStyle w:val="ListParagraph"/>
        <w:widowControl/>
        <w:numPr>
          <w:ilvl w:val="0"/>
          <w:numId w:val="26"/>
        </w:numPr>
        <w:spacing w:before="0" w:after="100" w:line="240" w:lineRule="auto"/>
        <w:ind w:right="360"/>
        <w:contextualSpacing w:val="0"/>
      </w:pPr>
      <w:r w:rsidRPr="00EF0C79">
        <w:t xml:space="preserve">Describe the benefits of creating study groups, and distinguish the characteristics of quality study groups  </w:t>
      </w:r>
    </w:p>
    <w:p w14:paraId="7057D077" w14:textId="77777777" w:rsidR="00344295" w:rsidRPr="00C31E7D" w:rsidDel="00E12FD3" w:rsidRDefault="00344295" w:rsidP="002054D1">
      <w:pPr>
        <w:pStyle w:val="Heading1"/>
      </w:pPr>
      <w:r w:rsidRPr="00C31E7D" w:rsidDel="00E12FD3">
        <w:t xml:space="preserve">Student </w:t>
      </w:r>
      <w:r w:rsidRPr="00344295" w:rsidDel="00E12FD3">
        <w:t>Expectations</w:t>
      </w:r>
    </w:p>
    <w:p w14:paraId="73E54CDA" w14:textId="77777777" w:rsidR="00344295" w:rsidRPr="002054D1" w:rsidDel="00E12FD3" w:rsidRDefault="00344295" w:rsidP="002054D1">
      <w:r w:rsidRPr="002054D1" w:rsidDel="00E12FD3">
        <w:t xml:space="preserve">This course requires the same level of commitment from you as a traditional classroom course would. Throughout the course, you are expected to spend approximately </w:t>
      </w:r>
      <w:r w:rsidRPr="002054D1">
        <w:t>5–7</w:t>
      </w:r>
      <w:r w:rsidRPr="002054D1" w:rsidDel="00E12FD3">
        <w:t xml:space="preserve"> hours per week online on the following activities: </w:t>
      </w:r>
    </w:p>
    <w:p w14:paraId="3EC24F7E" w14:textId="77777777" w:rsidR="00344295" w:rsidRPr="002054D1" w:rsidDel="00E12FD3" w:rsidRDefault="003C64B4" w:rsidP="002054D1">
      <w:pPr>
        <w:pStyle w:val="ListParagraph"/>
        <w:numPr>
          <w:ilvl w:val="0"/>
          <w:numId w:val="22"/>
        </w:numPr>
        <w:spacing w:after="0"/>
      </w:pPr>
      <w:r w:rsidRPr="002054D1">
        <w:t>Interactive lessons th</w:t>
      </w:r>
      <w:r w:rsidR="00AA4E64" w:rsidRPr="002054D1">
        <w:t>a</w:t>
      </w:r>
      <w:r w:rsidR="00344295" w:rsidRPr="002054D1" w:rsidDel="00E12FD3">
        <w:t>t include a mixture of instructional videos and tasks</w:t>
      </w:r>
    </w:p>
    <w:p w14:paraId="3F7057D6" w14:textId="77777777" w:rsidR="00344295" w:rsidRPr="002054D1" w:rsidDel="00E12FD3" w:rsidRDefault="00344295" w:rsidP="002054D1">
      <w:pPr>
        <w:pStyle w:val="NoSpacing"/>
        <w:numPr>
          <w:ilvl w:val="0"/>
          <w:numId w:val="21"/>
        </w:numPr>
        <w:rPr>
          <w:sz w:val="22"/>
          <w:szCs w:val="22"/>
        </w:rPr>
      </w:pPr>
      <w:r w:rsidRPr="002054D1" w:rsidDel="00E12FD3">
        <w:rPr>
          <w:sz w:val="22"/>
          <w:szCs w:val="22"/>
        </w:rPr>
        <w:t>Assignments in which you apply and extend learning in each lesson</w:t>
      </w:r>
    </w:p>
    <w:p w14:paraId="53E67605" w14:textId="77777777" w:rsidR="00344295" w:rsidRPr="002054D1" w:rsidRDefault="00344295" w:rsidP="002054D1">
      <w:pPr>
        <w:pStyle w:val="NoSpacing"/>
        <w:numPr>
          <w:ilvl w:val="0"/>
          <w:numId w:val="21"/>
        </w:numPr>
        <w:rPr>
          <w:sz w:val="22"/>
          <w:szCs w:val="22"/>
        </w:rPr>
      </w:pPr>
      <w:r w:rsidRPr="002054D1" w:rsidDel="00E12FD3">
        <w:rPr>
          <w:sz w:val="22"/>
          <w:szCs w:val="22"/>
        </w:rPr>
        <w:lastRenderedPageBreak/>
        <w:t>Assessments, including quizzes, tests, and cumulative exams</w:t>
      </w:r>
    </w:p>
    <w:p w14:paraId="4B4A9062" w14:textId="77777777" w:rsidR="00344295" w:rsidRPr="00C31E7D" w:rsidRDefault="00344295" w:rsidP="002054D1">
      <w:pPr>
        <w:pStyle w:val="Heading1"/>
      </w:pPr>
      <w:r w:rsidRPr="00C31E7D">
        <w:t>Communication</w:t>
      </w:r>
    </w:p>
    <w:p w14:paraId="0691CF08" w14:textId="77777777" w:rsidR="00344295" w:rsidRPr="0076663E" w:rsidRDefault="00344295" w:rsidP="002054D1">
      <w:r w:rsidRPr="0076663E">
        <w:t xml:space="preserve">Your teacher will communicate with you regularly through discussions, email, </w:t>
      </w:r>
      <w:r w:rsidR="007D205E">
        <w:t xml:space="preserve">chat, and system announcements. </w:t>
      </w:r>
      <w:r w:rsidRPr="0076663E">
        <w:t>You will also communicate with classmates, either via online tools or face to face, as yo</w:t>
      </w:r>
      <w:r w:rsidR="007D205E">
        <w:t>u collaborate on project, a</w:t>
      </w:r>
      <w:r w:rsidRPr="0076663E">
        <w:t>sk and answer questions in your peer group</w:t>
      </w:r>
      <w:r w:rsidR="007D205E">
        <w:t>, and d</w:t>
      </w:r>
      <w:r w:rsidRPr="0076663E">
        <w:t>evelop speaking and listening skills</w:t>
      </w:r>
      <w:r w:rsidR="007D205E">
        <w:t>.</w:t>
      </w:r>
    </w:p>
    <w:p w14:paraId="22C007B3" w14:textId="77777777" w:rsidR="00344295" w:rsidRPr="00344295" w:rsidRDefault="00344295" w:rsidP="002054D1">
      <w:pPr>
        <w:pStyle w:val="Heading1"/>
      </w:pPr>
      <w:r w:rsidRPr="00C31E7D">
        <w:t>Grading Policy</w:t>
      </w:r>
    </w:p>
    <w:p w14:paraId="3BF434CB" w14:textId="77777777" w:rsidR="00344295" w:rsidRPr="002054D1" w:rsidRDefault="00344295" w:rsidP="002054D1">
      <w:r w:rsidRPr="002054D1">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Look w:val="0420" w:firstRow="1" w:lastRow="0" w:firstColumn="0" w:lastColumn="0" w:noHBand="0" w:noVBand="1"/>
      </w:tblPr>
      <w:tblGrid>
        <w:gridCol w:w="3510"/>
        <w:gridCol w:w="1305"/>
      </w:tblGrid>
      <w:tr w:rsidR="00E840A7" w14:paraId="3A58EAA0" w14:textId="77777777" w:rsidTr="000D4702">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14:paraId="229A36A0" w14:textId="77777777" w:rsidR="00E840A7" w:rsidRPr="00642D24" w:rsidRDefault="00E840A7" w:rsidP="00FF73D1">
            <w:pPr>
              <w:pStyle w:val="TableHeader"/>
              <w:spacing w:before="120" w:after="120"/>
              <w:ind w:right="317"/>
            </w:pPr>
            <w:r>
              <w:t>Grading Category</w:t>
            </w:r>
          </w:p>
        </w:tc>
        <w:tc>
          <w:tcPr>
            <w:tcW w:w="1305" w:type="dxa"/>
            <w:shd w:val="clear" w:color="auto" w:fill="2E3092"/>
          </w:tcPr>
          <w:p w14:paraId="112E5AAA" w14:textId="77777777" w:rsidR="00E840A7" w:rsidRPr="00642D24" w:rsidRDefault="00E840A7" w:rsidP="00FF73D1">
            <w:pPr>
              <w:pStyle w:val="TableHeader"/>
              <w:spacing w:before="120" w:after="120"/>
              <w:ind w:right="317"/>
            </w:pPr>
            <w:r>
              <w:t>Weight</w:t>
            </w:r>
          </w:p>
        </w:tc>
      </w:tr>
      <w:tr w:rsidR="00E840A7" w14:paraId="2C141698" w14:textId="77777777"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002DBED1" w14:textId="77777777" w:rsidR="00E840A7" w:rsidRPr="00E840A7" w:rsidRDefault="00E840A7" w:rsidP="00867BC4">
            <w:pPr>
              <w:pStyle w:val="TableText"/>
              <w:spacing w:before="60" w:after="60"/>
              <w:ind w:right="-14"/>
            </w:pPr>
            <w:r>
              <w:t>Assignments</w:t>
            </w:r>
          </w:p>
        </w:tc>
        <w:tc>
          <w:tcPr>
            <w:tcW w:w="1305" w:type="dxa"/>
            <w:shd w:val="clear" w:color="auto" w:fill="DEDFE0"/>
          </w:tcPr>
          <w:p w14:paraId="75FDFE5C" w14:textId="77777777" w:rsidR="00E840A7" w:rsidRDefault="00FF577B" w:rsidP="00867BC4">
            <w:pPr>
              <w:pStyle w:val="TableText"/>
              <w:spacing w:before="60" w:after="60"/>
              <w:ind w:right="-14"/>
            </w:pPr>
            <w:r>
              <w:t>2</w:t>
            </w:r>
            <w:r w:rsidR="00E840A7">
              <w:t>0%</w:t>
            </w:r>
          </w:p>
        </w:tc>
      </w:tr>
      <w:tr w:rsidR="00E840A7" w14:paraId="272F1797" w14:textId="77777777"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DEDFE0"/>
          </w:tcPr>
          <w:p w14:paraId="19B3A129" w14:textId="77777777" w:rsidR="00E840A7" w:rsidRPr="00766AAB" w:rsidRDefault="00E840A7" w:rsidP="00867BC4">
            <w:pPr>
              <w:pStyle w:val="TableText"/>
              <w:spacing w:before="60" w:after="60"/>
              <w:ind w:right="-14"/>
            </w:pPr>
            <w:r>
              <w:t>Lesson Quizzes</w:t>
            </w:r>
          </w:p>
        </w:tc>
        <w:tc>
          <w:tcPr>
            <w:tcW w:w="1305" w:type="dxa"/>
            <w:shd w:val="clear" w:color="auto" w:fill="DEDFE0"/>
          </w:tcPr>
          <w:p w14:paraId="1B3A5081" w14:textId="77777777" w:rsidR="00E840A7" w:rsidRDefault="00FF577B" w:rsidP="00867BC4">
            <w:pPr>
              <w:pStyle w:val="TableText"/>
              <w:spacing w:before="60" w:after="60"/>
              <w:ind w:right="-14"/>
            </w:pPr>
            <w:r>
              <w:t>3</w:t>
            </w:r>
            <w:r w:rsidR="00E840A7">
              <w:t>0%</w:t>
            </w:r>
          </w:p>
        </w:tc>
      </w:tr>
      <w:tr w:rsidR="00E840A7" w14:paraId="67D68B45" w14:textId="77777777"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auto"/>
          </w:tcPr>
          <w:p w14:paraId="54A8D492" w14:textId="77777777" w:rsidR="00E840A7" w:rsidRPr="00766AAB" w:rsidRDefault="00E840A7" w:rsidP="00867BC4">
            <w:pPr>
              <w:pStyle w:val="TableText"/>
              <w:spacing w:before="60" w:after="60"/>
              <w:ind w:right="-14"/>
            </w:pPr>
            <w:r>
              <w:t>Unit Tests</w:t>
            </w:r>
          </w:p>
        </w:tc>
        <w:tc>
          <w:tcPr>
            <w:tcW w:w="1305" w:type="dxa"/>
            <w:shd w:val="clear" w:color="auto" w:fill="auto"/>
          </w:tcPr>
          <w:p w14:paraId="6BEFC146" w14:textId="77777777" w:rsidR="00E840A7" w:rsidRDefault="00FF577B" w:rsidP="00867BC4">
            <w:pPr>
              <w:pStyle w:val="TableText"/>
              <w:spacing w:before="60" w:after="60"/>
              <w:ind w:right="-14"/>
            </w:pPr>
            <w:r>
              <w:t>3</w:t>
            </w:r>
            <w:r w:rsidR="00E840A7">
              <w:t>0%</w:t>
            </w:r>
          </w:p>
        </w:tc>
      </w:tr>
      <w:tr w:rsidR="00E840A7" w14:paraId="4A236AFA" w14:textId="77777777"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DEDFE0"/>
          </w:tcPr>
          <w:p w14:paraId="2CA9C530" w14:textId="77777777" w:rsidR="00E840A7" w:rsidRPr="00766AAB" w:rsidRDefault="00E840A7" w:rsidP="00867BC4">
            <w:pPr>
              <w:pStyle w:val="TableText"/>
              <w:spacing w:before="60" w:after="60"/>
              <w:ind w:right="-14"/>
            </w:pPr>
            <w:r>
              <w:t>Cumulative Exams</w:t>
            </w:r>
          </w:p>
        </w:tc>
        <w:tc>
          <w:tcPr>
            <w:tcW w:w="1305" w:type="dxa"/>
            <w:shd w:val="clear" w:color="auto" w:fill="DEDFE0"/>
          </w:tcPr>
          <w:p w14:paraId="07FE843A" w14:textId="77777777" w:rsidR="00E840A7" w:rsidRDefault="00FF577B" w:rsidP="00867BC4">
            <w:pPr>
              <w:pStyle w:val="TableText"/>
              <w:spacing w:before="60" w:after="60"/>
              <w:ind w:right="-14"/>
            </w:pPr>
            <w:r>
              <w:t>2</w:t>
            </w:r>
            <w:r w:rsidR="00E840A7">
              <w:t>0%</w:t>
            </w:r>
          </w:p>
        </w:tc>
      </w:tr>
    </w:tbl>
    <w:p w14:paraId="4BCBE4B7" w14:textId="77777777" w:rsidR="00344295" w:rsidRPr="00C31E7D" w:rsidRDefault="00344295" w:rsidP="002054D1">
      <w:pPr>
        <w:pStyle w:val="Heading1"/>
      </w:pPr>
      <w:r w:rsidRPr="00344295">
        <w:t>Scope</w:t>
      </w:r>
      <w:r w:rsidRPr="00C31E7D">
        <w:t xml:space="preserve"> and Sequence</w:t>
      </w:r>
    </w:p>
    <w:p w14:paraId="68122FE6" w14:textId="77777777" w:rsidR="00344295" w:rsidRPr="00CC4ABB" w:rsidRDefault="00344295" w:rsidP="002054D1">
      <w:r w:rsidRPr="00CC4ABB">
        <w:t xml:space="preserve">When you log into the Virtual Classroom, you can view the entire course map, which provides a scope and sequence of all topics you will study. Clicking a lesson’s link in the course map leads to a page listing instructional activities, assignments, and learning objectives specific to that lesson. The units of study are summarized below: </w:t>
      </w:r>
    </w:p>
    <w:p w14:paraId="1CC46838" w14:textId="77777777" w:rsidR="000D4702" w:rsidRPr="00CC4ABB" w:rsidRDefault="000D4702" w:rsidP="002054D1">
      <w:pPr>
        <w:sectPr w:rsidR="000D4702" w:rsidRPr="00CC4ABB" w:rsidSect="00477144">
          <w:footerReference w:type="default" r:id="rId7"/>
          <w:pgSz w:w="12240" w:h="15840"/>
          <w:pgMar w:top="1080" w:right="1080" w:bottom="1080" w:left="1080" w:header="0" w:footer="835" w:gutter="0"/>
          <w:cols w:space="720"/>
          <w:docGrid w:linePitch="326"/>
        </w:sectPr>
      </w:pPr>
    </w:p>
    <w:p w14:paraId="35DEE1C5" w14:textId="4AA8EB99" w:rsidR="00EF0C79" w:rsidRPr="00EF0C79" w:rsidRDefault="00EF0C79" w:rsidP="00EF0C79">
      <w:pPr>
        <w:widowControl/>
        <w:numPr>
          <w:ilvl w:val="0"/>
          <w:numId w:val="13"/>
        </w:numPr>
        <w:spacing w:before="0" w:after="100" w:line="240" w:lineRule="auto"/>
        <w:ind w:left="900" w:right="0" w:hanging="900"/>
        <w:rPr>
          <w:rFonts w:eastAsia="MS Mincho"/>
        </w:rPr>
      </w:pPr>
      <w:r w:rsidRPr="00EF0C79">
        <w:rPr>
          <w:rFonts w:eastAsia="MS Mincho"/>
        </w:rPr>
        <w:t xml:space="preserve">Taking Control of </w:t>
      </w:r>
      <w:r w:rsidR="00AB4EDC">
        <w:rPr>
          <w:rFonts w:eastAsia="MS Mincho"/>
        </w:rPr>
        <w:t>Your Learning Experience and Academic Success</w:t>
      </w:r>
    </w:p>
    <w:p w14:paraId="42880999" w14:textId="70F3CE64" w:rsidR="00EF0C79" w:rsidRPr="00EF0C79" w:rsidRDefault="00AB4EDC" w:rsidP="00EF0C79">
      <w:pPr>
        <w:widowControl/>
        <w:numPr>
          <w:ilvl w:val="0"/>
          <w:numId w:val="13"/>
        </w:numPr>
        <w:spacing w:before="0" w:after="100" w:line="240" w:lineRule="auto"/>
        <w:ind w:left="900" w:right="0" w:hanging="900"/>
      </w:pPr>
      <w:r>
        <w:t>Reading Techniques and Note Taking</w:t>
      </w:r>
    </w:p>
    <w:p w14:paraId="77E513E9" w14:textId="59DCEAE6" w:rsidR="00EF0C79" w:rsidRPr="00EF0C79" w:rsidRDefault="00AB4EDC" w:rsidP="00EF0C79">
      <w:pPr>
        <w:widowControl/>
        <w:numPr>
          <w:ilvl w:val="0"/>
          <w:numId w:val="13"/>
        </w:numPr>
        <w:spacing w:before="0" w:after="100" w:line="240" w:lineRule="auto"/>
        <w:ind w:left="900" w:right="0" w:hanging="900"/>
      </w:pPr>
      <w:r>
        <w:t>Memorization Techniques</w:t>
      </w:r>
    </w:p>
    <w:p w14:paraId="2A39CFFA" w14:textId="0B286B52" w:rsidR="00EF0C79" w:rsidRPr="00EF0C79" w:rsidRDefault="00AB4EDC" w:rsidP="00EF0C79">
      <w:pPr>
        <w:widowControl/>
        <w:numPr>
          <w:ilvl w:val="0"/>
          <w:numId w:val="13"/>
        </w:numPr>
        <w:spacing w:before="0" w:after="100" w:line="240" w:lineRule="auto"/>
        <w:ind w:left="900" w:right="0" w:hanging="900"/>
      </w:pPr>
      <w:r>
        <w:t>5 Steps to Test Preparation</w:t>
      </w:r>
    </w:p>
    <w:p w14:paraId="06EC66E4" w14:textId="42D8EE88" w:rsidR="00EF0C79" w:rsidRPr="00EF0C79" w:rsidRDefault="00AB4EDC" w:rsidP="00EF0C79">
      <w:pPr>
        <w:widowControl/>
        <w:numPr>
          <w:ilvl w:val="0"/>
          <w:numId w:val="13"/>
        </w:numPr>
        <w:spacing w:before="0" w:after="100" w:line="240" w:lineRule="auto"/>
        <w:ind w:left="900" w:right="0" w:hanging="900"/>
      </w:pPr>
      <w:r>
        <w:t>Test Taking Strategies</w:t>
      </w:r>
    </w:p>
    <w:p w14:paraId="1E0A0812" w14:textId="366A280B" w:rsidR="006F44E1" w:rsidRDefault="00AB4EDC" w:rsidP="002054D1">
      <w:pPr>
        <w:widowControl/>
        <w:numPr>
          <w:ilvl w:val="0"/>
          <w:numId w:val="13"/>
        </w:numPr>
        <w:spacing w:before="0" w:after="100" w:line="240" w:lineRule="auto"/>
        <w:ind w:left="900" w:right="0" w:hanging="900"/>
        <w:sectPr w:rsidR="006F44E1" w:rsidSect="006F44E1">
          <w:footerReference w:type="default" r:id="rId8"/>
          <w:type w:val="continuous"/>
          <w:pgSz w:w="12240" w:h="15840"/>
          <w:pgMar w:top="900" w:right="1440" w:bottom="630" w:left="1440" w:header="720" w:footer="720" w:gutter="0"/>
          <w:cols w:num="2" w:space="720"/>
          <w:titlePg/>
          <w:docGrid w:linePitch="360"/>
        </w:sectPr>
      </w:pPr>
      <w:r>
        <w:t>Using References to Write Quality Papers</w:t>
      </w:r>
    </w:p>
    <w:p w14:paraId="01E46672" w14:textId="77777777" w:rsidR="00254CC1" w:rsidRPr="00245D67" w:rsidRDefault="00254CC1" w:rsidP="002054D1"/>
    <w:sectPr w:rsidR="00254CC1" w:rsidRPr="00245D67" w:rsidSect="006F44E1">
      <w:type w:val="continuous"/>
      <w:pgSz w:w="12240" w:h="15840"/>
      <w:pgMar w:top="90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39B95" w14:textId="77777777" w:rsidR="00FB6D8E" w:rsidRDefault="00FB6D8E" w:rsidP="002054D1">
      <w:r>
        <w:separator/>
      </w:r>
    </w:p>
  </w:endnote>
  <w:endnote w:type="continuationSeparator" w:id="0">
    <w:p w14:paraId="492C939B" w14:textId="77777777" w:rsidR="00FB6D8E" w:rsidRDefault="00FB6D8E"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9F08" w14:textId="4B97C733" w:rsidR="003C64B4" w:rsidRDefault="003C64B4" w:rsidP="002054D1">
    <w:r>
      <w:rPr>
        <w:noProof/>
      </w:rPr>
      <w:drawing>
        <wp:anchor distT="0" distB="0" distL="114300" distR="114300" simplePos="0" relativeHeight="251659264" behindDoc="1" locked="0" layoutInCell="1" allowOverlap="1" wp14:anchorId="54CB9568" wp14:editId="212F88E8">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AF748A">
      <w:rPr>
        <w:noProof/>
      </w:rPr>
      <w:t>1</w:t>
    </w:r>
    <w:r w:rsidR="00832445" w:rsidRPr="00832445">
      <w:rPr>
        <w:noProof/>
      </w:rPr>
      <w:fldChar w:fldCharType="end"/>
    </w:r>
    <w:r w:rsidR="00D02E30">
      <w:t xml:space="preserve"> | © Edgenuity Inc.</w:t>
    </w:r>
  </w:p>
  <w:p w14:paraId="76E4CDDE" w14:textId="77777777" w:rsidR="00254CC1" w:rsidRPr="003C64B4" w:rsidRDefault="00254CC1" w:rsidP="00205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55A6" w14:textId="77777777" w:rsidR="007C3825" w:rsidRDefault="00B12E86">
    <w:pPr>
      <w:pStyle w:val="Footer"/>
    </w:pPr>
    <w:r>
      <w:rPr>
        <w:rFonts w:ascii="Franklin Gothic Book" w:hAnsi="Franklin Gothic Book"/>
        <w:sz w:val="18"/>
        <w:szCs w:val="18"/>
      </w:rPr>
      <w:t xml:space="preserve">Copyright </w:t>
    </w:r>
    <w:r w:rsidRPr="007C3825">
      <w:rPr>
        <w:rFonts w:ascii="Franklin Gothic Book" w:hAnsi="Franklin Gothic Book"/>
        <w:sz w:val="18"/>
        <w:szCs w:val="18"/>
      </w:rPr>
      <w:t>E2020</w:t>
    </w:r>
    <w:r>
      <w:rPr>
        <w:rFonts w:ascii="Franklin Gothic Book" w:hAnsi="Franklin Gothic Book"/>
        <w:sz w:val="18"/>
        <w:szCs w:val="18"/>
      </w:rPr>
      <w:t xml:space="preserve"> </w:t>
    </w:r>
    <w:r w:rsidRPr="007C3825">
      <w:rPr>
        <w:vertAlign w:val="superscript"/>
      </w:rPr>
      <w:t>©</w:t>
    </w:r>
    <w:r w:rsidRPr="007C3825">
      <w:rPr>
        <w:rFonts w:ascii="Franklin Gothic Book" w:hAnsi="Franklin Gothic Book"/>
        <w:sz w:val="18"/>
        <w:szCs w:val="18"/>
      </w:rPr>
      <w:t xml:space="preserve"> Inc</w:t>
    </w:r>
    <w:r>
      <w:t xml:space="preserve">. </w:t>
    </w:r>
  </w:p>
  <w:p w14:paraId="46EE8D22" w14:textId="77777777" w:rsidR="007C3825" w:rsidRDefault="00AF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18F4" w14:textId="77777777" w:rsidR="00FB6D8E" w:rsidRDefault="00FB6D8E" w:rsidP="002054D1">
      <w:r>
        <w:separator/>
      </w:r>
    </w:p>
  </w:footnote>
  <w:footnote w:type="continuationSeparator" w:id="0">
    <w:p w14:paraId="778731A2" w14:textId="77777777" w:rsidR="00FB6D8E" w:rsidRDefault="00FB6D8E"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1198"/>
    <w:multiLevelType w:val="hybridMultilevel"/>
    <w:tmpl w:val="68B0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C857FA8"/>
    <w:multiLevelType w:val="hybridMultilevel"/>
    <w:tmpl w:val="544E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1585A"/>
    <w:multiLevelType w:val="hybridMultilevel"/>
    <w:tmpl w:val="7442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5"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B5B7E"/>
    <w:multiLevelType w:val="hybridMultilevel"/>
    <w:tmpl w:val="74B4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2"/>
  </w:num>
  <w:num w:numId="2">
    <w:abstractNumId w:val="21"/>
  </w:num>
  <w:num w:numId="3">
    <w:abstractNumId w:val="20"/>
  </w:num>
  <w:num w:numId="4">
    <w:abstractNumId w:val="13"/>
  </w:num>
  <w:num w:numId="5">
    <w:abstractNumId w:val="10"/>
  </w:num>
  <w:num w:numId="6">
    <w:abstractNumId w:val="4"/>
  </w:num>
  <w:num w:numId="7">
    <w:abstractNumId w:val="0"/>
  </w:num>
  <w:num w:numId="8">
    <w:abstractNumId w:val="3"/>
  </w:num>
  <w:num w:numId="9">
    <w:abstractNumId w:val="19"/>
  </w:num>
  <w:num w:numId="10">
    <w:abstractNumId w:val="24"/>
  </w:num>
  <w:num w:numId="11">
    <w:abstractNumId w:val="15"/>
  </w:num>
  <w:num w:numId="12">
    <w:abstractNumId w:val="16"/>
  </w:num>
  <w:num w:numId="13">
    <w:abstractNumId w:val="14"/>
  </w:num>
  <w:num w:numId="14">
    <w:abstractNumId w:val="6"/>
  </w:num>
  <w:num w:numId="15">
    <w:abstractNumId w:val="22"/>
  </w:num>
  <w:num w:numId="16">
    <w:abstractNumId w:val="1"/>
  </w:num>
  <w:num w:numId="17">
    <w:abstractNumId w:val="18"/>
  </w:num>
  <w:num w:numId="18">
    <w:abstractNumId w:val="11"/>
  </w:num>
  <w:num w:numId="19">
    <w:abstractNumId w:val="11"/>
  </w:num>
  <w:num w:numId="20">
    <w:abstractNumId w:val="17"/>
  </w:num>
  <w:num w:numId="21">
    <w:abstractNumId w:val="7"/>
  </w:num>
  <w:num w:numId="22">
    <w:abstractNumId w:val="8"/>
  </w:num>
  <w:num w:numId="23">
    <w:abstractNumId w:val="9"/>
  </w:num>
  <w:num w:numId="24">
    <w:abstractNumId w:val="2"/>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D4702"/>
    <w:rsid w:val="001452C6"/>
    <w:rsid w:val="00151724"/>
    <w:rsid w:val="0016637D"/>
    <w:rsid w:val="00172C77"/>
    <w:rsid w:val="00182C03"/>
    <w:rsid w:val="001E29C6"/>
    <w:rsid w:val="002054D1"/>
    <w:rsid w:val="00231255"/>
    <w:rsid w:val="00245D67"/>
    <w:rsid w:val="00254CC1"/>
    <w:rsid w:val="002A08A8"/>
    <w:rsid w:val="00344295"/>
    <w:rsid w:val="00380B89"/>
    <w:rsid w:val="003C64B4"/>
    <w:rsid w:val="003D08D3"/>
    <w:rsid w:val="003D1DFD"/>
    <w:rsid w:val="003E1356"/>
    <w:rsid w:val="00477144"/>
    <w:rsid w:val="00680CB8"/>
    <w:rsid w:val="006D1CD3"/>
    <w:rsid w:val="006E2E6F"/>
    <w:rsid w:val="006F44E1"/>
    <w:rsid w:val="00700CF0"/>
    <w:rsid w:val="00717FB7"/>
    <w:rsid w:val="00743008"/>
    <w:rsid w:val="00746ABA"/>
    <w:rsid w:val="007D205E"/>
    <w:rsid w:val="00824240"/>
    <w:rsid w:val="00832445"/>
    <w:rsid w:val="00837811"/>
    <w:rsid w:val="00867BC4"/>
    <w:rsid w:val="00915154"/>
    <w:rsid w:val="009D3A7B"/>
    <w:rsid w:val="009E7AF1"/>
    <w:rsid w:val="00A04EE2"/>
    <w:rsid w:val="00A40F00"/>
    <w:rsid w:val="00AA4E64"/>
    <w:rsid w:val="00AB4EDC"/>
    <w:rsid w:val="00AF748A"/>
    <w:rsid w:val="00B12E86"/>
    <w:rsid w:val="00B37E61"/>
    <w:rsid w:val="00BE5099"/>
    <w:rsid w:val="00C00C57"/>
    <w:rsid w:val="00C63E7A"/>
    <w:rsid w:val="00C80676"/>
    <w:rsid w:val="00C84F16"/>
    <w:rsid w:val="00CC4ABB"/>
    <w:rsid w:val="00CE1D2E"/>
    <w:rsid w:val="00CF3966"/>
    <w:rsid w:val="00CF53BD"/>
    <w:rsid w:val="00D02E30"/>
    <w:rsid w:val="00D63B5E"/>
    <w:rsid w:val="00DC7D3A"/>
    <w:rsid w:val="00DE20C6"/>
    <w:rsid w:val="00E840A7"/>
    <w:rsid w:val="00EA7655"/>
    <w:rsid w:val="00EF0C79"/>
    <w:rsid w:val="00F23FEF"/>
    <w:rsid w:val="00F9509E"/>
    <w:rsid w:val="00FB6D8E"/>
    <w:rsid w:val="00FE48CA"/>
    <w:rsid w:val="00FF577B"/>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EE1FA"/>
  <w15:docId w15:val="{1CDBC20D-DAEB-4956-B19C-5023A5AD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2020-08-27T13:15:00Z</dcterms:created>
  <dcterms:modified xsi:type="dcterms:W3CDTF">2020-08-27T13:15:00Z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ies>
</file>